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98" w:rsidRPr="000D22AC" w:rsidRDefault="00012098" w:rsidP="005C2EED">
      <w:pPr>
        <w:pStyle w:val="Nadpis3"/>
        <w:jc w:val="both"/>
        <w:rPr>
          <w:color w:val="000000"/>
          <w:szCs w:val="22"/>
        </w:rPr>
      </w:pPr>
    </w:p>
    <w:p w:rsidR="00F6241B" w:rsidRPr="000D22AC" w:rsidRDefault="00F6241B" w:rsidP="005C2EED">
      <w:pPr>
        <w:pStyle w:val="Nadpis3"/>
        <w:jc w:val="both"/>
        <w:rPr>
          <w:b w:val="0"/>
          <w:color w:val="000000"/>
          <w:szCs w:val="22"/>
          <w:u w:val="none"/>
        </w:rPr>
      </w:pPr>
      <w:r w:rsidRPr="000D22AC">
        <w:rPr>
          <w:color w:val="000000"/>
        </w:rPr>
        <w:t xml:space="preserve">Koloskopické vyšetření </w:t>
      </w:r>
      <w:r w:rsidRPr="000D22AC">
        <w:rPr>
          <w:b w:val="0"/>
          <w:color w:val="000000"/>
          <w:u w:val="none"/>
        </w:rPr>
        <w:t>umožňuje pomocí ohebného přístroje vyšetřit tlusté střevo</w:t>
      </w:r>
      <w:bookmarkStart w:id="0" w:name="_GoBack"/>
      <w:bookmarkEnd w:id="0"/>
      <w:r w:rsidRPr="000D22AC">
        <w:rPr>
          <w:b w:val="0"/>
          <w:color w:val="000000"/>
          <w:u w:val="none"/>
        </w:rPr>
        <w:t>, případně provést léčebný zákrok. Vyšetření se provádí</w:t>
      </w:r>
      <w:r w:rsidR="00C42E1B">
        <w:rPr>
          <w:b w:val="0"/>
          <w:color w:val="000000"/>
          <w:u w:val="none"/>
        </w:rPr>
        <w:t xml:space="preserve"> </w:t>
      </w:r>
      <w:r w:rsidRPr="000D22AC">
        <w:rPr>
          <w:b w:val="0"/>
          <w:color w:val="000000"/>
          <w:u w:val="none"/>
        </w:rPr>
        <w:t xml:space="preserve">podle typu výkonu ambulantně nebo za hospitalizace. </w:t>
      </w:r>
      <w:r w:rsidRPr="000D22AC">
        <w:rPr>
          <w:b w:val="0"/>
          <w:color w:val="000000"/>
          <w:szCs w:val="22"/>
          <w:u w:val="none"/>
        </w:rPr>
        <w:t>Počítejte prosím s tím, že může dojít ke zpoždění a nemusíte být vyšetřeni v plánovaném čase – na naš</w:t>
      </w:r>
      <w:r w:rsidR="00713887">
        <w:rPr>
          <w:b w:val="0"/>
          <w:color w:val="000000"/>
          <w:szCs w:val="22"/>
          <w:u w:val="none"/>
        </w:rPr>
        <w:t xml:space="preserve">em </w:t>
      </w:r>
      <w:r w:rsidRPr="000D22AC">
        <w:rPr>
          <w:b w:val="0"/>
          <w:color w:val="000000"/>
          <w:szCs w:val="22"/>
          <w:u w:val="none"/>
        </w:rPr>
        <w:t>pracovišt</w:t>
      </w:r>
      <w:r w:rsidR="00713887">
        <w:rPr>
          <w:b w:val="0"/>
          <w:color w:val="000000"/>
          <w:szCs w:val="22"/>
          <w:u w:val="none"/>
        </w:rPr>
        <w:t>i</w:t>
      </w:r>
      <w:r w:rsidRPr="000D22AC">
        <w:rPr>
          <w:b w:val="0"/>
          <w:color w:val="000000"/>
          <w:szCs w:val="22"/>
          <w:u w:val="none"/>
        </w:rPr>
        <w:t xml:space="preserve"> musejí být zároveň ošetřováni i akutní pacienti.</w:t>
      </w:r>
    </w:p>
    <w:p w:rsidR="001D1FF7" w:rsidRPr="000D22AC" w:rsidRDefault="004D2DBD" w:rsidP="005C2EED">
      <w:pPr>
        <w:jc w:val="both"/>
        <w:rPr>
          <w:color w:val="000000"/>
        </w:rPr>
      </w:pPr>
      <w:r w:rsidRPr="000D22AC">
        <w:rPr>
          <w:rFonts w:ascii="Tahoma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90805</wp:posOffset>
                </wp:positionV>
                <wp:extent cx="6105525" cy="685800"/>
                <wp:effectExtent l="22860" t="24765" r="24765" b="228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355DA" id="Rectangle 7" o:spid="_x0000_s1026" style="position:absolute;margin-left:-3.75pt;margin-top:7.15pt;width:480.7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" filled="f" strokeweight="3pt"/>
            </w:pict>
          </mc:Fallback>
        </mc:AlternateContent>
      </w:r>
    </w:p>
    <w:p w:rsidR="005C2EED" w:rsidRDefault="001D1FF7" w:rsidP="005C2EED">
      <w:pPr>
        <w:jc w:val="both"/>
        <w:rPr>
          <w:rFonts w:ascii="Tahoma" w:hAnsi="Tahoma" w:cs="Tahoma"/>
          <w:color w:val="000000"/>
        </w:rPr>
      </w:pPr>
      <w:r w:rsidRPr="000D22AC">
        <w:rPr>
          <w:rFonts w:ascii="Tahoma" w:hAnsi="Tahoma" w:cs="Tahoma"/>
          <w:b/>
          <w:color w:val="000000"/>
          <w:u w:val="single"/>
        </w:rPr>
        <w:t>Nezbytné pro vyšetření</w:t>
      </w:r>
      <w:r w:rsidRPr="000D22AC">
        <w:rPr>
          <w:rFonts w:ascii="Tahoma" w:hAnsi="Tahoma" w:cs="Tahoma"/>
          <w:color w:val="000000"/>
        </w:rPr>
        <w:t xml:space="preserve"> je </w:t>
      </w:r>
      <w:r w:rsidR="00D53772" w:rsidRPr="000D22AC">
        <w:rPr>
          <w:rFonts w:ascii="Tahoma" w:hAnsi="Tahoma" w:cs="Tahoma"/>
          <w:color w:val="000000"/>
        </w:rPr>
        <w:t xml:space="preserve">(1) </w:t>
      </w:r>
      <w:r w:rsidRPr="000D22AC">
        <w:rPr>
          <w:rFonts w:ascii="Tahoma" w:hAnsi="Tahoma" w:cs="Tahoma"/>
          <w:b/>
          <w:color w:val="000000"/>
        </w:rPr>
        <w:t>LÉKAŘEM VYPLNĚNÁ ŽÁDANKA</w:t>
      </w:r>
      <w:r w:rsidRPr="000D22AC">
        <w:rPr>
          <w:rFonts w:ascii="Tahoma" w:hAnsi="Tahoma" w:cs="Tahoma"/>
          <w:color w:val="000000"/>
        </w:rPr>
        <w:t xml:space="preserve">, </w:t>
      </w:r>
      <w:r w:rsidR="00D53772" w:rsidRPr="000D22AC">
        <w:rPr>
          <w:rFonts w:ascii="Tahoma" w:hAnsi="Tahoma" w:cs="Tahoma"/>
          <w:color w:val="000000"/>
        </w:rPr>
        <w:t xml:space="preserve">(2) </w:t>
      </w:r>
      <w:r w:rsidRPr="000D22AC">
        <w:rPr>
          <w:rFonts w:ascii="Tahoma" w:hAnsi="Tahoma" w:cs="Tahoma"/>
          <w:b/>
          <w:color w:val="000000"/>
        </w:rPr>
        <w:t>SEZNAM AKTUÁLNĚ UŽÍVANÝCH LÉKŮ</w:t>
      </w:r>
      <w:r w:rsidR="00D53772" w:rsidRPr="000D22AC">
        <w:rPr>
          <w:rFonts w:ascii="Tahoma" w:hAnsi="Tahoma" w:cs="Tahoma"/>
          <w:color w:val="000000"/>
        </w:rPr>
        <w:t xml:space="preserve">, (3) </w:t>
      </w:r>
      <w:r w:rsidR="00C834D3" w:rsidRPr="000D22AC">
        <w:rPr>
          <w:rFonts w:ascii="Tahoma" w:hAnsi="Tahoma" w:cs="Tahoma"/>
          <w:b/>
          <w:color w:val="000000"/>
        </w:rPr>
        <w:t>DOPROVODNÁ OSOBA</w:t>
      </w:r>
      <w:r w:rsidR="00C834D3" w:rsidRPr="000D22AC">
        <w:rPr>
          <w:rFonts w:ascii="Tahoma" w:hAnsi="Tahoma" w:cs="Tahoma"/>
          <w:color w:val="000000"/>
        </w:rPr>
        <w:t xml:space="preserve"> </w:t>
      </w:r>
      <w:r w:rsidR="00D53772" w:rsidRPr="000D22AC">
        <w:rPr>
          <w:rFonts w:ascii="Tahoma" w:hAnsi="Tahoma" w:cs="Tahoma"/>
          <w:color w:val="000000"/>
        </w:rPr>
        <w:t>při provedení výkonu</w:t>
      </w:r>
    </w:p>
    <w:p w:rsidR="001D1FF7" w:rsidRPr="000D22AC" w:rsidRDefault="00CA67A2" w:rsidP="005C2EE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 tlumící injekcí</w:t>
      </w:r>
      <w:r w:rsidR="00D53772" w:rsidRPr="000D22AC">
        <w:rPr>
          <w:rFonts w:ascii="Tahoma" w:hAnsi="Tahoma" w:cs="Tahoma"/>
          <w:color w:val="000000"/>
        </w:rPr>
        <w:t xml:space="preserve"> a (4) </w:t>
      </w:r>
      <w:r w:rsidR="00D53772" w:rsidRPr="000D22AC">
        <w:rPr>
          <w:rFonts w:ascii="Tahoma" w:hAnsi="Tahoma" w:cs="Tahoma"/>
          <w:b/>
          <w:color w:val="000000"/>
        </w:rPr>
        <w:t>OČISTA TRAČNÍKU</w:t>
      </w:r>
      <w:r w:rsidR="00D53772" w:rsidRPr="000D22AC">
        <w:rPr>
          <w:rFonts w:ascii="Tahoma" w:hAnsi="Tahoma" w:cs="Tahoma"/>
          <w:color w:val="000000"/>
        </w:rPr>
        <w:t xml:space="preserve"> viz dále</w:t>
      </w:r>
      <w:r w:rsidR="007677FC">
        <w:rPr>
          <w:rFonts w:ascii="Tahoma" w:hAnsi="Tahoma" w:cs="Tahoma"/>
          <w:color w:val="000000"/>
        </w:rPr>
        <w:t>.</w:t>
      </w:r>
    </w:p>
    <w:p w:rsidR="00A77B41" w:rsidRPr="000D22AC" w:rsidRDefault="00A77B41" w:rsidP="005C2EED">
      <w:pPr>
        <w:jc w:val="both"/>
        <w:rPr>
          <w:color w:val="000000"/>
        </w:rPr>
      </w:pPr>
    </w:p>
    <w:p w:rsidR="00EB6F86" w:rsidRPr="000D22AC" w:rsidRDefault="00EB6F86" w:rsidP="005C2EED">
      <w:pPr>
        <w:pStyle w:val="Nadpis3"/>
        <w:jc w:val="both"/>
        <w:rPr>
          <w:color w:val="000000"/>
          <w:szCs w:val="22"/>
        </w:rPr>
      </w:pPr>
      <w:r w:rsidRPr="000D22AC">
        <w:rPr>
          <w:color w:val="000000"/>
          <w:szCs w:val="22"/>
        </w:rPr>
        <w:t>Příprava ke koloskopii</w:t>
      </w:r>
    </w:p>
    <w:p w:rsidR="00086B6C" w:rsidRPr="000D22AC" w:rsidRDefault="00EB6F86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 xml:space="preserve">Kvalitní koloskopické vyšetření je závislé na co nejlepší očistě tračníku (tlustého střeva). Toho lze dosáhnout </w:t>
      </w:r>
      <w:r w:rsidRPr="000D22AC">
        <w:rPr>
          <w:rFonts w:ascii="Tahoma" w:hAnsi="Tahoma" w:cs="Tahoma"/>
          <w:b/>
          <w:color w:val="000000"/>
          <w:sz w:val="22"/>
          <w:szCs w:val="22"/>
        </w:rPr>
        <w:t>dietou,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vypitím </w:t>
      </w:r>
      <w:r w:rsidRPr="000D22AC">
        <w:rPr>
          <w:rFonts w:ascii="Tahoma" w:hAnsi="Tahoma" w:cs="Tahoma"/>
          <w:b/>
          <w:color w:val="000000"/>
          <w:sz w:val="22"/>
          <w:szCs w:val="22"/>
        </w:rPr>
        <w:t>projímavých očistných roztoků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a dostatečným </w:t>
      </w:r>
      <w:r w:rsidRPr="000D22AC">
        <w:rPr>
          <w:rFonts w:ascii="Tahoma" w:hAnsi="Tahoma" w:cs="Tahoma"/>
          <w:b/>
          <w:color w:val="000000"/>
          <w:sz w:val="22"/>
          <w:szCs w:val="22"/>
        </w:rPr>
        <w:t>příjmem tekutin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086B6C" w:rsidRPr="000D22AC" w:rsidRDefault="00086B6C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>Standardním očistným roztokem je makrogol (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>Fortrans</w:t>
      </w:r>
      <w:r w:rsidR="00B452A1">
        <w:rPr>
          <w:rFonts w:ascii="Tahoma" w:hAnsi="Tahoma" w:cs="Tahoma"/>
          <w:color w:val="000000"/>
          <w:sz w:val="22"/>
          <w:szCs w:val="22"/>
        </w:rPr>
        <w:t>, Vistaprep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>)</w:t>
      </w:r>
      <w:r w:rsidR="00551F98" w:rsidRPr="000D22AC">
        <w:rPr>
          <w:rFonts w:ascii="Tahoma" w:hAnsi="Tahoma" w:cs="Tahoma"/>
          <w:color w:val="000000"/>
          <w:sz w:val="22"/>
          <w:szCs w:val="22"/>
        </w:rPr>
        <w:t>. J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>eho výhodou je větší šetrnost, nevýhodou vysoký objem (</w:t>
      </w:r>
      <w:smartTag w:uri="urn:schemas-microsoft-com:office:smarttags" w:element="metricconverter">
        <w:smartTagPr>
          <w:attr w:name="ProductID" w:val="4 litry"/>
        </w:smartTagPr>
        <w:r w:rsidR="002F4287" w:rsidRPr="000D22AC">
          <w:rPr>
            <w:rFonts w:ascii="Tahoma" w:hAnsi="Tahoma" w:cs="Tahoma"/>
            <w:color w:val="000000"/>
            <w:sz w:val="22"/>
            <w:szCs w:val="22"/>
          </w:rPr>
          <w:t>4 l</w:t>
        </w:r>
        <w:r w:rsidR="00C92789" w:rsidRPr="000D22AC">
          <w:rPr>
            <w:rFonts w:ascii="Tahoma" w:hAnsi="Tahoma" w:cs="Tahoma"/>
            <w:color w:val="000000"/>
            <w:sz w:val="22"/>
            <w:szCs w:val="22"/>
          </w:rPr>
          <w:t>itry</w:t>
        </w:r>
      </w:smartTag>
      <w:r w:rsidR="002F4287" w:rsidRPr="000D22AC">
        <w:rPr>
          <w:rFonts w:ascii="Tahoma" w:hAnsi="Tahoma" w:cs="Tahoma"/>
          <w:color w:val="000000"/>
          <w:sz w:val="22"/>
          <w:szCs w:val="22"/>
        </w:rPr>
        <w:t>)</w:t>
      </w:r>
      <w:r w:rsidR="00D93C71">
        <w:rPr>
          <w:rFonts w:ascii="Tahoma" w:hAnsi="Tahoma" w:cs="Tahoma"/>
          <w:color w:val="000000"/>
          <w:sz w:val="22"/>
          <w:szCs w:val="22"/>
        </w:rPr>
        <w:t xml:space="preserve"> a slanější chuť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>. Dal</w:t>
      </w:r>
      <w:r w:rsidR="00B452A1">
        <w:rPr>
          <w:rFonts w:ascii="Tahoma" w:hAnsi="Tahoma" w:cs="Tahoma"/>
          <w:color w:val="000000"/>
          <w:sz w:val="22"/>
          <w:szCs w:val="22"/>
        </w:rPr>
        <w:t xml:space="preserve">šími přípravky s menším objemem 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 xml:space="preserve">a příjemnější chutí jsou </w:t>
      </w:r>
      <w:r w:rsidR="00F546F8" w:rsidRPr="000D22AC">
        <w:rPr>
          <w:rFonts w:ascii="Tahoma" w:hAnsi="Tahoma" w:cs="Tahoma"/>
          <w:color w:val="000000"/>
          <w:sz w:val="22"/>
          <w:szCs w:val="22"/>
        </w:rPr>
        <w:t>CitraFleet</w:t>
      </w:r>
      <w:r w:rsidR="00B452A1">
        <w:rPr>
          <w:rFonts w:ascii="Tahoma" w:hAnsi="Tahoma" w:cs="Tahoma"/>
          <w:color w:val="000000"/>
          <w:sz w:val="22"/>
          <w:szCs w:val="22"/>
        </w:rPr>
        <w:t xml:space="preserve">, Clensia, 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>Eziclen</w:t>
      </w:r>
      <w:r w:rsidR="00B452A1">
        <w:rPr>
          <w:rFonts w:ascii="Tahoma" w:hAnsi="Tahoma" w:cs="Tahoma"/>
          <w:color w:val="000000"/>
          <w:sz w:val="22"/>
          <w:szCs w:val="22"/>
        </w:rPr>
        <w:t>, Moviprep</w:t>
      </w:r>
      <w:r w:rsidR="007677FC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452A1">
        <w:rPr>
          <w:rFonts w:ascii="Tahoma" w:hAnsi="Tahoma" w:cs="Tahoma"/>
          <w:color w:val="000000"/>
          <w:sz w:val="22"/>
          <w:szCs w:val="22"/>
        </w:rPr>
        <w:t>Picoprep</w:t>
      </w:r>
      <w:r w:rsidR="007677FC">
        <w:rPr>
          <w:rFonts w:ascii="Tahoma" w:hAnsi="Tahoma" w:cs="Tahoma"/>
          <w:color w:val="000000"/>
          <w:sz w:val="22"/>
          <w:szCs w:val="22"/>
        </w:rPr>
        <w:t xml:space="preserve"> a Plenvu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>. Tyto přípravky již mohou mít svá omezení u nemocných vysokého věku, s poruchou střevní průchodnosti nebo hybnosti, u nemocných se selháváním ledvin nebo jater, s jaterní cirhózou s ascitem, u nemocných s těžkým srdečním selhávání</w:t>
      </w:r>
      <w:r w:rsidR="0093003B" w:rsidRPr="000D22AC">
        <w:rPr>
          <w:rFonts w:ascii="Tahoma" w:hAnsi="Tahoma" w:cs="Tahoma"/>
          <w:color w:val="000000"/>
          <w:sz w:val="22"/>
          <w:szCs w:val="22"/>
        </w:rPr>
        <w:t>m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 xml:space="preserve">u 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>nemocných odvodněných nebo s minerálovou poruchou, u</w:t>
      </w:r>
      <w:r w:rsid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 xml:space="preserve">těhotných žen. </w:t>
      </w:r>
    </w:p>
    <w:p w:rsidR="00EB6F86" w:rsidRPr="000D22AC" w:rsidRDefault="000A53B5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 xml:space="preserve">V případě, že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u Vás v minulosti nebyla příprava dostatečná, </w:t>
      </w:r>
      <w:r w:rsidR="00CA67A2">
        <w:rPr>
          <w:rFonts w:ascii="Tahoma" w:hAnsi="Tahoma" w:cs="Tahoma"/>
          <w:color w:val="000000"/>
          <w:sz w:val="22"/>
          <w:szCs w:val="22"/>
        </w:rPr>
        <w:t xml:space="preserve">doporučujeme konzultovat </w:t>
      </w:r>
      <w:r w:rsidR="00C42E1B">
        <w:rPr>
          <w:rFonts w:ascii="Tahoma" w:hAnsi="Tahoma" w:cs="Tahoma"/>
          <w:color w:val="000000"/>
          <w:sz w:val="22"/>
          <w:szCs w:val="22"/>
        </w:rPr>
        <w:t>odborníka,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 aby</w:t>
      </w:r>
      <w:r w:rsidR="00CA67A2">
        <w:rPr>
          <w:rFonts w:ascii="Tahoma" w:hAnsi="Tahoma" w:cs="Tahoma"/>
          <w:color w:val="000000"/>
          <w:sz w:val="22"/>
          <w:szCs w:val="22"/>
        </w:rPr>
        <w:t>chom</w:t>
      </w:r>
      <w:r w:rsidR="00B452A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>Vám navrhl</w:t>
      </w:r>
      <w:r w:rsidR="00CA67A2">
        <w:rPr>
          <w:rFonts w:ascii="Tahoma" w:hAnsi="Tahoma" w:cs="Tahoma"/>
          <w:color w:val="000000"/>
          <w:sz w:val="22"/>
          <w:szCs w:val="22"/>
        </w:rPr>
        <w:t>i</w:t>
      </w:r>
      <w:r w:rsidR="00B452A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>čas</w:t>
      </w:r>
      <w:r w:rsidR="00BF7615" w:rsidRPr="000D22AC">
        <w:rPr>
          <w:rFonts w:ascii="Tahoma" w:hAnsi="Tahoma" w:cs="Tahoma"/>
          <w:color w:val="000000"/>
          <w:sz w:val="22"/>
          <w:szCs w:val="22"/>
        </w:rPr>
        <w:t xml:space="preserve"> vyšetření a přípravu „na míru“.</w:t>
      </w:r>
    </w:p>
    <w:p w:rsidR="00BB6B0D" w:rsidRPr="000D22AC" w:rsidRDefault="00BB6B0D" w:rsidP="005C2EED">
      <w:pPr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:rsidR="00BB6B0D" w:rsidRPr="000D22AC" w:rsidRDefault="00BB6B0D" w:rsidP="005C2EED">
      <w:pPr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>Úprava diety, léků a režimová opatření</w:t>
      </w:r>
    </w:p>
    <w:p w:rsidR="000B4456" w:rsidRPr="000D22AC" w:rsidRDefault="000B4456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 xml:space="preserve">Tři dny před vyšetřením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nejezte potraviny s vysokým obsahem nestravitelných zbytků (celozrnné pečivo, zelenina a ovoce se slupkami nebo zrnky, včetně hroznů, kiwi, jahod, máku…). Den před vyšetřením můžete lehce posnídat (např. čaj, piškot, suchý rohlík) </w:t>
      </w:r>
      <w:r w:rsidR="00FE001C" w:rsidRPr="000D22AC">
        <w:rPr>
          <w:rFonts w:ascii="Tahoma" w:hAnsi="Tahoma" w:cs="Tahoma"/>
          <w:color w:val="000000"/>
          <w:sz w:val="22"/>
          <w:szCs w:val="22"/>
        </w:rPr>
        <w:br/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a poobědvat bujón (čirý vývar z masa), pro přípravu je </w:t>
      </w:r>
      <w:r w:rsidR="005A7F5D">
        <w:rPr>
          <w:rFonts w:ascii="Tahoma" w:hAnsi="Tahoma" w:cs="Tahoma"/>
          <w:color w:val="000000"/>
          <w:sz w:val="22"/>
          <w:szCs w:val="22"/>
        </w:rPr>
        <w:t xml:space="preserve">však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>nejlepší již den před vyšetřením žádnou tuhou stravu nejíst. V den vyšetření</w:t>
      </w:r>
      <w:r w:rsidR="00012E01" w:rsidRPr="000D22AC">
        <w:rPr>
          <w:rFonts w:ascii="Tahoma" w:hAnsi="Tahoma" w:cs="Tahoma"/>
          <w:color w:val="000000"/>
          <w:sz w:val="22"/>
          <w:szCs w:val="22"/>
        </w:rPr>
        <w:t xml:space="preserve"> před výkonem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 již nejezte 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vůbec. Od odpoledne před vyšetřením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pijte pouze čisté tekutiny (možno všechny tekutiny bez silného zabarvení - „průhledné“, včetně limonád, ovocných šťáv bez dužniny, případně bujón; ne mléko, ne alkohol). 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Příjem tekutin není v žádné části přípravy ke koloskopii omezen - naopak, dostatek tekutin i mimo očistné roztoky 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>je nezbytný</w:t>
      </w:r>
      <w:r w:rsidR="007B7DBC">
        <w:rPr>
          <w:rFonts w:ascii="Tahoma" w:hAnsi="Tahoma" w:cs="Tahoma"/>
          <w:color w:val="000000"/>
          <w:sz w:val="22"/>
          <w:szCs w:val="22"/>
        </w:rPr>
        <w:t>, zejména</w:t>
      </w:r>
      <w:r w:rsidR="002F4287" w:rsidRPr="000D22AC">
        <w:rPr>
          <w:rFonts w:ascii="Tahoma" w:hAnsi="Tahoma" w:cs="Tahoma"/>
          <w:color w:val="000000"/>
          <w:sz w:val="22"/>
          <w:szCs w:val="22"/>
        </w:rPr>
        <w:t xml:space="preserve"> u nízkoobjemových přípravků</w:t>
      </w:r>
      <w:r w:rsidR="00BF7615"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D22AC">
        <w:rPr>
          <w:rFonts w:ascii="Tahoma" w:hAnsi="Tahoma" w:cs="Tahoma"/>
          <w:color w:val="000000"/>
          <w:sz w:val="22"/>
          <w:szCs w:val="22"/>
        </w:rPr>
        <w:t>- teprve 2 hodiny před vyšetřením už nic nepijte. Při přípravě ke koloskopii není vhodné omezovat pohyb.</w:t>
      </w:r>
    </w:p>
    <w:p w:rsidR="00BB6B0D" w:rsidRPr="000D22AC" w:rsidRDefault="00BB6B0D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0B4456" w:rsidRPr="000D22AC" w:rsidRDefault="000B4456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 xml:space="preserve">Podání očistných roztoků způsobí průjem, šetrnou očistou </w:t>
      </w:r>
      <w:r w:rsidR="009E1ADC" w:rsidRPr="000D22AC">
        <w:rPr>
          <w:rFonts w:ascii="Tahoma" w:hAnsi="Tahoma" w:cs="Tahoma"/>
          <w:color w:val="000000"/>
          <w:sz w:val="22"/>
          <w:szCs w:val="22"/>
        </w:rPr>
        <w:t>konečníku (např. vlhkými ubrousky</w:t>
      </w:r>
      <w:r w:rsidR="007B7DBC">
        <w:rPr>
          <w:rFonts w:ascii="Tahoma" w:hAnsi="Tahoma" w:cs="Tahoma"/>
          <w:color w:val="000000"/>
          <w:sz w:val="22"/>
          <w:szCs w:val="22"/>
        </w:rPr>
        <w:t xml:space="preserve"> či omytím vodou</w:t>
      </w:r>
      <w:r w:rsidR="009E1ADC" w:rsidRPr="000D22AC">
        <w:rPr>
          <w:rFonts w:ascii="Tahoma" w:hAnsi="Tahoma" w:cs="Tahoma"/>
          <w:color w:val="000000"/>
          <w:sz w:val="22"/>
          <w:szCs w:val="22"/>
        </w:rPr>
        <w:t xml:space="preserve">) 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lze zmírnit </w:t>
      </w:r>
      <w:r w:rsidR="009E1ADC" w:rsidRPr="000D22AC">
        <w:rPr>
          <w:rFonts w:ascii="Tahoma" w:hAnsi="Tahoma" w:cs="Tahoma"/>
          <w:color w:val="000000"/>
          <w:sz w:val="22"/>
          <w:szCs w:val="22"/>
        </w:rPr>
        <w:t xml:space="preserve">jeho </w:t>
      </w:r>
      <w:r w:rsidRPr="000D22AC">
        <w:rPr>
          <w:rFonts w:ascii="Tahoma" w:hAnsi="Tahoma" w:cs="Tahoma"/>
          <w:color w:val="000000"/>
          <w:sz w:val="22"/>
          <w:szCs w:val="22"/>
        </w:rPr>
        <w:t>podráždění.</w:t>
      </w:r>
    </w:p>
    <w:p w:rsidR="00BB6B0D" w:rsidRPr="000D22AC" w:rsidRDefault="00BB6B0D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0B4456" w:rsidRPr="000D22AC" w:rsidRDefault="000B4456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 xml:space="preserve">Týden před vyšetřením je vhodné vysadit léky s obsahem železa (Aktiferrin, Sorbifer).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Pokud se léčíte s cukrovkou (diabetes mellitus), konzultujte podávání léků 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snižujících hladinu krevního cukru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>s doporučujícím lékařem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či diabetologem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55452E" w:rsidRPr="000D22AC" w:rsidRDefault="00EB6F86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>P</w:t>
      </w:r>
      <w:r w:rsidR="00E67FCE">
        <w:rPr>
          <w:rFonts w:ascii="Tahoma" w:hAnsi="Tahoma" w:cs="Tahoma"/>
          <w:color w:val="000000"/>
          <w:sz w:val="22"/>
          <w:szCs w:val="22"/>
        </w:rPr>
        <w:t xml:space="preserve">odávání léků na ředění krve </w:t>
      </w:r>
      <w:r w:rsidR="0055452E" w:rsidRPr="000D22AC">
        <w:rPr>
          <w:rFonts w:ascii="Tahoma" w:hAnsi="Tahoma" w:cs="Tahoma"/>
          <w:color w:val="000000"/>
          <w:sz w:val="22"/>
          <w:szCs w:val="22"/>
        </w:rPr>
        <w:t xml:space="preserve">(Warfarin, Eliquis, </w:t>
      </w:r>
      <w:r w:rsidR="00B452A1">
        <w:rPr>
          <w:rFonts w:ascii="Tahoma" w:hAnsi="Tahoma" w:cs="Tahoma"/>
          <w:color w:val="000000"/>
          <w:sz w:val="22"/>
          <w:szCs w:val="22"/>
        </w:rPr>
        <w:t xml:space="preserve">Lixiana, </w:t>
      </w:r>
      <w:r w:rsidR="00B452A1" w:rsidRPr="000D22AC">
        <w:rPr>
          <w:rFonts w:ascii="Tahoma" w:hAnsi="Tahoma" w:cs="Tahoma"/>
          <w:color w:val="000000"/>
          <w:sz w:val="22"/>
          <w:szCs w:val="22"/>
        </w:rPr>
        <w:t xml:space="preserve">Pradaxa, </w:t>
      </w:r>
      <w:r w:rsidR="0055452E" w:rsidRPr="000D22AC">
        <w:rPr>
          <w:rFonts w:ascii="Tahoma" w:hAnsi="Tahoma" w:cs="Tahoma"/>
          <w:color w:val="000000"/>
          <w:sz w:val="22"/>
          <w:szCs w:val="22"/>
        </w:rPr>
        <w:t>Xarelto, léky obsahující kyselinu acetylosalicylovou, clopidogrel, ticlopidin, prasugrel</w:t>
      </w:r>
      <w:r w:rsidR="00B452A1">
        <w:rPr>
          <w:rFonts w:ascii="Tahoma" w:hAnsi="Tahoma" w:cs="Tahoma"/>
          <w:color w:val="000000"/>
          <w:sz w:val="22"/>
          <w:szCs w:val="22"/>
        </w:rPr>
        <w:t xml:space="preserve">, ticagrelor </w:t>
      </w:r>
      <w:r w:rsidR="0055452E" w:rsidRPr="000D22AC">
        <w:rPr>
          <w:rFonts w:ascii="Tahoma" w:hAnsi="Tahoma" w:cs="Tahoma"/>
          <w:color w:val="000000"/>
          <w:sz w:val="22"/>
          <w:szCs w:val="22"/>
        </w:rPr>
        <w:t xml:space="preserve">a všechny typy protisrážlivých injekcí) </w:t>
      </w:r>
      <w:r w:rsidRPr="000D22AC">
        <w:rPr>
          <w:rFonts w:ascii="Tahoma" w:hAnsi="Tahoma" w:cs="Tahoma"/>
          <w:color w:val="000000"/>
          <w:sz w:val="22"/>
          <w:szCs w:val="22"/>
        </w:rPr>
        <w:t>je upraven</w:t>
      </w:r>
      <w:r w:rsidR="00E67FCE">
        <w:rPr>
          <w:rFonts w:ascii="Tahoma" w:hAnsi="Tahoma" w:cs="Tahoma"/>
          <w:color w:val="000000"/>
          <w:sz w:val="22"/>
          <w:szCs w:val="22"/>
        </w:rPr>
        <w:t>o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individuálně </w:t>
      </w:r>
      <w:r w:rsidR="00E67FCE">
        <w:rPr>
          <w:rFonts w:ascii="Tahoma" w:hAnsi="Tahoma" w:cs="Tahoma"/>
          <w:color w:val="000000"/>
          <w:sz w:val="22"/>
          <w:szCs w:val="22"/>
        </w:rPr>
        <w:t xml:space="preserve">doporučujícím </w:t>
      </w:r>
      <w:r w:rsidR="000B4456" w:rsidRPr="000D22AC">
        <w:rPr>
          <w:rFonts w:ascii="Tahoma" w:hAnsi="Tahoma" w:cs="Tahoma"/>
          <w:color w:val="000000"/>
          <w:sz w:val="22"/>
          <w:szCs w:val="22"/>
        </w:rPr>
        <w:t>lékařem,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B4456" w:rsidRPr="000D22AC">
        <w:rPr>
          <w:rFonts w:ascii="Tahoma" w:hAnsi="Tahoma" w:cs="Tahoma"/>
          <w:color w:val="000000"/>
          <w:sz w:val="22"/>
          <w:szCs w:val="22"/>
        </w:rPr>
        <w:t>p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ro </w:t>
      </w:r>
      <w:r w:rsidR="007B7DBC">
        <w:rPr>
          <w:rFonts w:ascii="Tahoma" w:hAnsi="Tahoma" w:cs="Tahoma"/>
          <w:color w:val="000000"/>
          <w:sz w:val="22"/>
          <w:szCs w:val="22"/>
        </w:rPr>
        <w:t>běžnou (</w:t>
      </w:r>
      <w:r w:rsidRPr="000D22AC">
        <w:rPr>
          <w:rFonts w:ascii="Tahoma" w:hAnsi="Tahoma" w:cs="Tahoma"/>
          <w:color w:val="000000"/>
          <w:sz w:val="22"/>
          <w:szCs w:val="22"/>
        </w:rPr>
        <w:t>diagnostickou</w:t>
      </w:r>
      <w:r w:rsidR="007B7DBC">
        <w:rPr>
          <w:rFonts w:ascii="Tahoma" w:hAnsi="Tahoma" w:cs="Tahoma"/>
          <w:color w:val="000000"/>
          <w:sz w:val="22"/>
          <w:szCs w:val="22"/>
        </w:rPr>
        <w:t>)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koloskopii není účinná protisrážlivá léčba překážkou. </w:t>
      </w:r>
    </w:p>
    <w:p w:rsidR="00626E14" w:rsidRPr="000D22AC" w:rsidRDefault="00EB6F86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 xml:space="preserve">Ostatní léky </w:t>
      </w:r>
      <w:r w:rsidR="000B4456" w:rsidRPr="000D22AC">
        <w:rPr>
          <w:rFonts w:ascii="Tahoma" w:hAnsi="Tahoma" w:cs="Tahoma"/>
          <w:color w:val="000000"/>
          <w:sz w:val="22"/>
          <w:szCs w:val="22"/>
        </w:rPr>
        <w:t xml:space="preserve">(např. na léčbu krevního tlaku) </w:t>
      </w:r>
      <w:r w:rsidRPr="000D22AC">
        <w:rPr>
          <w:rFonts w:ascii="Tahoma" w:hAnsi="Tahoma" w:cs="Tahoma"/>
          <w:color w:val="000000"/>
          <w:sz w:val="22"/>
          <w:szCs w:val="22"/>
        </w:rPr>
        <w:t>nevysazujte</w:t>
      </w:r>
      <w:r w:rsidR="000B4456" w:rsidRPr="000D22AC">
        <w:rPr>
          <w:rFonts w:ascii="Tahoma" w:hAnsi="Tahoma" w:cs="Tahoma"/>
          <w:color w:val="000000"/>
          <w:sz w:val="22"/>
          <w:szCs w:val="22"/>
        </w:rPr>
        <w:t xml:space="preserve"> a </w:t>
      </w:r>
      <w:r w:rsidR="000B4456" w:rsidRPr="00B06C2D">
        <w:rPr>
          <w:rFonts w:ascii="Tahoma" w:hAnsi="Tahoma" w:cs="Tahoma"/>
          <w:b/>
          <w:color w:val="000000"/>
          <w:sz w:val="22"/>
          <w:szCs w:val="22"/>
        </w:rPr>
        <w:t>ranní dávku si vezměte jako obvykle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0B4456" w:rsidRPr="000D22AC">
        <w:rPr>
          <w:rFonts w:ascii="Tahoma" w:hAnsi="Tahoma" w:cs="Tahoma"/>
          <w:color w:val="000000"/>
          <w:sz w:val="22"/>
          <w:szCs w:val="22"/>
        </w:rPr>
        <w:t xml:space="preserve">Seznam aktuálně užívaných léků si vezměte s sebou. </w:t>
      </w:r>
    </w:p>
    <w:p w:rsidR="00450FAD" w:rsidRPr="000D22AC" w:rsidRDefault="00450FAD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C42E1B" w:rsidRDefault="00C47ABE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 xml:space="preserve">Průběh a podávání léků při koloskopii může ovlivnit </w:t>
      </w:r>
      <w:r w:rsidR="00742E95">
        <w:rPr>
          <w:rFonts w:ascii="Tahoma" w:hAnsi="Tahoma" w:cs="Tahoma"/>
          <w:color w:val="000000"/>
          <w:sz w:val="22"/>
          <w:szCs w:val="22"/>
        </w:rPr>
        <w:t xml:space="preserve">náhrada </w:t>
      </w:r>
      <w:r w:rsidRPr="000D22AC">
        <w:rPr>
          <w:rFonts w:ascii="Tahoma" w:hAnsi="Tahoma" w:cs="Tahoma"/>
          <w:color w:val="000000"/>
          <w:sz w:val="22"/>
          <w:szCs w:val="22"/>
        </w:rPr>
        <w:t>srdeční chlop</w:t>
      </w:r>
      <w:r w:rsidR="00742E95">
        <w:rPr>
          <w:rFonts w:ascii="Tahoma" w:hAnsi="Tahoma" w:cs="Tahoma"/>
          <w:color w:val="000000"/>
          <w:sz w:val="22"/>
          <w:szCs w:val="22"/>
        </w:rPr>
        <w:t>ně</w:t>
      </w:r>
      <w:r w:rsidRPr="000D22AC">
        <w:rPr>
          <w:rFonts w:ascii="Tahoma" w:hAnsi="Tahoma" w:cs="Tahoma"/>
          <w:color w:val="000000"/>
          <w:sz w:val="22"/>
          <w:szCs w:val="22"/>
        </w:rPr>
        <w:t>, proběhlá endokarditida, zavedené cévní protézy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>,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42E95">
        <w:rPr>
          <w:rFonts w:ascii="Tahoma" w:hAnsi="Tahoma" w:cs="Tahoma"/>
          <w:color w:val="000000"/>
          <w:sz w:val="22"/>
          <w:szCs w:val="22"/>
        </w:rPr>
        <w:t>kardiostimulátor</w:t>
      </w:r>
      <w:r w:rsidR="00742E95"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 xml:space="preserve">či </w:t>
      </w:r>
      <w:r w:rsidRPr="000D22AC">
        <w:rPr>
          <w:rFonts w:ascii="Tahoma" w:hAnsi="Tahoma" w:cs="Tahoma"/>
          <w:color w:val="000000"/>
          <w:sz w:val="22"/>
          <w:szCs w:val="22"/>
        </w:rPr>
        <w:t>defibrilátor a proto je zapotřebí tyto skutečnosti sdělit sestře a vyšetřujícímu lékaři.</w:t>
      </w:r>
      <w:r w:rsidR="00626E14" w:rsidRPr="000D22AC">
        <w:rPr>
          <w:rFonts w:ascii="Tahoma" w:hAnsi="Tahoma" w:cs="Tahoma"/>
          <w:color w:val="000000"/>
          <w:sz w:val="22"/>
          <w:szCs w:val="22"/>
        </w:rPr>
        <w:t xml:space="preserve"> U pacientů léčených peritoneální dialýzou je vhodné před vyšetřením vypustit dialyzát.</w:t>
      </w:r>
    </w:p>
    <w:p w:rsidR="00C42E1B" w:rsidRPr="000D22AC" w:rsidRDefault="00C42E1B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5C2EED" w:rsidRDefault="000A53B5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lastRenderedPageBreak/>
        <w:t>V případě podání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 tišících prostředků nesmí pacient po výkonu řídit motorová vozidla, obsluhovat stroje, činit závažná rozhodnutí nebo se vrátit do zaměstnání po dobu </w:t>
      </w:r>
      <w:r w:rsidR="00BF7615" w:rsidRPr="000D22AC">
        <w:rPr>
          <w:rFonts w:ascii="Tahoma" w:hAnsi="Tahoma" w:cs="Tahoma"/>
          <w:color w:val="000000"/>
          <w:sz w:val="22"/>
          <w:szCs w:val="22"/>
        </w:rPr>
        <w:t>12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 hodin. </w:t>
      </w:r>
      <w:r w:rsidR="00C47ABE" w:rsidRPr="000D22AC">
        <w:rPr>
          <w:rFonts w:ascii="Tahoma" w:hAnsi="Tahoma" w:cs="Tahoma"/>
          <w:color w:val="000000"/>
          <w:sz w:val="22"/>
          <w:szCs w:val="22"/>
        </w:rPr>
        <w:t xml:space="preserve">Je </w:t>
      </w:r>
      <w:r w:rsidR="007B7DBC">
        <w:rPr>
          <w:rFonts w:ascii="Tahoma" w:hAnsi="Tahoma" w:cs="Tahoma"/>
          <w:color w:val="000000"/>
          <w:sz w:val="22"/>
          <w:szCs w:val="22"/>
        </w:rPr>
        <w:t xml:space="preserve">nutné </w:t>
      </w:r>
      <w:r w:rsidR="00C47ABE" w:rsidRPr="000D22AC">
        <w:rPr>
          <w:rFonts w:ascii="Tahoma" w:hAnsi="Tahoma" w:cs="Tahoma"/>
          <w:color w:val="000000"/>
          <w:sz w:val="22"/>
          <w:szCs w:val="22"/>
        </w:rPr>
        <w:t>zajistit si doprovodnou osobu, která Vás po vyšetření vyzvedne a odveze.</w:t>
      </w:r>
    </w:p>
    <w:p w:rsidR="00EB6F86" w:rsidRPr="000D22AC" w:rsidRDefault="000A53B5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>M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>áte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-li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vývod střeva (stomii), přineste si prosím </w:t>
      </w:r>
      <w:r w:rsidR="00BF7615" w:rsidRPr="000D22AC">
        <w:rPr>
          <w:rFonts w:ascii="Tahoma" w:hAnsi="Tahoma" w:cs="Tahoma"/>
          <w:color w:val="000000"/>
          <w:sz w:val="22"/>
          <w:szCs w:val="22"/>
        </w:rPr>
        <w:t xml:space="preserve">s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>sebou i náhradní stomické pomůcky.</w:t>
      </w:r>
    </w:p>
    <w:p w:rsidR="006E27EF" w:rsidRPr="000D22AC" w:rsidRDefault="006E27EF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73130F" w:rsidRPr="000D22AC" w:rsidRDefault="0073130F" w:rsidP="005C2EED">
      <w:pPr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Načasování výkonu a </w:t>
      </w:r>
      <w:r w:rsidR="00D84226"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rozdělení </w:t>
      </w:r>
      <w:r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>přípravy.</w:t>
      </w:r>
    </w:p>
    <w:p w:rsidR="0073130F" w:rsidRPr="000D22AC" w:rsidRDefault="0073130F" w:rsidP="005C2EED">
      <w:pPr>
        <w:pStyle w:val="Zkladntext"/>
        <w:jc w:val="both"/>
        <w:rPr>
          <w:color w:val="000000"/>
          <w:szCs w:val="22"/>
        </w:rPr>
      </w:pPr>
      <w:r w:rsidRPr="000D22AC">
        <w:rPr>
          <w:color w:val="000000"/>
          <w:szCs w:val="22"/>
        </w:rPr>
        <w:t xml:space="preserve">Přípravu je pro dosažení optimální očisty střeva nezbytné absolvovat tak, aby </w:t>
      </w:r>
      <w:r w:rsidR="00FE0F92" w:rsidRPr="000D22AC">
        <w:rPr>
          <w:color w:val="000000"/>
          <w:szCs w:val="22"/>
        </w:rPr>
        <w:t xml:space="preserve">podávání </w:t>
      </w:r>
      <w:r w:rsidRPr="000D22AC">
        <w:rPr>
          <w:color w:val="000000"/>
          <w:szCs w:val="22"/>
        </w:rPr>
        <w:t>druh</w:t>
      </w:r>
      <w:r w:rsidR="00FE0F92" w:rsidRPr="000D22AC">
        <w:rPr>
          <w:color w:val="000000"/>
          <w:szCs w:val="22"/>
        </w:rPr>
        <w:t>é</w:t>
      </w:r>
      <w:r w:rsidRPr="000D22AC">
        <w:rPr>
          <w:color w:val="000000"/>
          <w:szCs w:val="22"/>
        </w:rPr>
        <w:t xml:space="preserve"> </w:t>
      </w:r>
      <w:r w:rsidR="00FE0F92" w:rsidRPr="000D22AC">
        <w:rPr>
          <w:color w:val="000000"/>
          <w:szCs w:val="22"/>
        </w:rPr>
        <w:t>dávky</w:t>
      </w:r>
      <w:r w:rsidRPr="000D22AC">
        <w:rPr>
          <w:color w:val="000000"/>
          <w:szCs w:val="22"/>
        </w:rPr>
        <w:t xml:space="preserve"> roztoků k očistě byl</w:t>
      </w:r>
      <w:r w:rsidR="00FE0F92" w:rsidRPr="000D22AC">
        <w:rPr>
          <w:color w:val="000000"/>
          <w:szCs w:val="22"/>
        </w:rPr>
        <w:t>o</w:t>
      </w:r>
      <w:r w:rsidRPr="000D22AC">
        <w:rPr>
          <w:color w:val="000000"/>
          <w:szCs w:val="22"/>
        </w:rPr>
        <w:t xml:space="preserve"> </w:t>
      </w:r>
      <w:r w:rsidR="00FE0F92" w:rsidRPr="000D22AC">
        <w:rPr>
          <w:color w:val="000000"/>
          <w:szCs w:val="22"/>
        </w:rPr>
        <w:t>ukončeno</w:t>
      </w:r>
      <w:r w:rsidRPr="000D22AC">
        <w:rPr>
          <w:color w:val="000000"/>
          <w:szCs w:val="22"/>
        </w:rPr>
        <w:t xml:space="preserve"> 4 hodiny před výkonem</w:t>
      </w:r>
      <w:r w:rsidR="00626E14" w:rsidRPr="000D22AC">
        <w:rPr>
          <w:color w:val="000000"/>
          <w:szCs w:val="22"/>
        </w:rPr>
        <w:t>.</w:t>
      </w:r>
      <w:r w:rsidRPr="000D22AC">
        <w:rPr>
          <w:color w:val="000000"/>
          <w:szCs w:val="22"/>
        </w:rPr>
        <w:t xml:space="preserve"> </w:t>
      </w:r>
      <w:r w:rsidR="00626E14" w:rsidRPr="000D22AC">
        <w:rPr>
          <w:color w:val="000000"/>
          <w:szCs w:val="22"/>
        </w:rPr>
        <w:t xml:space="preserve">Vhodné je </w:t>
      </w:r>
      <w:r w:rsidR="00C92789" w:rsidRPr="000D22AC">
        <w:rPr>
          <w:color w:val="000000"/>
          <w:szCs w:val="22"/>
        </w:rPr>
        <w:t xml:space="preserve">tedy </w:t>
      </w:r>
      <w:r w:rsidR="00626E14" w:rsidRPr="000D22AC">
        <w:rPr>
          <w:color w:val="000000"/>
          <w:szCs w:val="22"/>
        </w:rPr>
        <w:t>rozdělení přípravy (3+1 nebo 2+</w:t>
      </w:r>
      <w:smartTag w:uri="urn:schemas-microsoft-com:office:smarttags" w:element="metricconverter">
        <w:smartTagPr>
          <w:attr w:name="ProductID" w:val="2 litry"/>
        </w:smartTagPr>
        <w:r w:rsidR="00626E14" w:rsidRPr="000D22AC">
          <w:rPr>
            <w:color w:val="000000"/>
            <w:szCs w:val="22"/>
          </w:rPr>
          <w:t>2 l</w:t>
        </w:r>
        <w:r w:rsidR="00C92789" w:rsidRPr="000D22AC">
          <w:rPr>
            <w:color w:val="000000"/>
            <w:szCs w:val="22"/>
          </w:rPr>
          <w:t>itry</w:t>
        </w:r>
      </w:smartTag>
      <w:r w:rsidR="00626E14" w:rsidRPr="000D22AC">
        <w:rPr>
          <w:color w:val="000000"/>
          <w:szCs w:val="22"/>
        </w:rPr>
        <w:t xml:space="preserve"> u přípravk</w:t>
      </w:r>
      <w:r w:rsidR="000665C1">
        <w:rPr>
          <w:color w:val="000000"/>
          <w:szCs w:val="22"/>
        </w:rPr>
        <w:t>ů s větším objemem</w:t>
      </w:r>
      <w:r w:rsidR="00626E14" w:rsidRPr="000D22AC">
        <w:rPr>
          <w:color w:val="000000"/>
          <w:szCs w:val="22"/>
        </w:rPr>
        <w:t xml:space="preserve">, </w:t>
      </w:r>
      <w:r w:rsidR="007B7DBC">
        <w:rPr>
          <w:color w:val="000000"/>
          <w:szCs w:val="22"/>
        </w:rPr>
        <w:t>1+1 dávka</w:t>
      </w:r>
      <w:r w:rsidR="00626E14" w:rsidRPr="000D22AC">
        <w:rPr>
          <w:color w:val="000000"/>
          <w:szCs w:val="22"/>
        </w:rPr>
        <w:t xml:space="preserve"> u ostatních přípravků) na večer den před vyšetřením (17:00) a ráno v den vyšetření (</w:t>
      </w:r>
      <w:r w:rsidR="007B7DBC">
        <w:rPr>
          <w:color w:val="000000"/>
          <w:szCs w:val="22"/>
        </w:rPr>
        <w:t xml:space="preserve">a to </w:t>
      </w:r>
      <w:r w:rsidR="00626E14" w:rsidRPr="000D22AC">
        <w:rPr>
          <w:color w:val="000000"/>
          <w:szCs w:val="22"/>
        </w:rPr>
        <w:t xml:space="preserve">i v případě, že budete muset vstávat v noci). Rozdělené podání je vhodné </w:t>
      </w:r>
      <w:r w:rsidR="00C92789" w:rsidRPr="000D22AC">
        <w:rPr>
          <w:color w:val="000000"/>
          <w:szCs w:val="22"/>
        </w:rPr>
        <w:t>bez ohledu na údaje uvedené v balení přípravných roztoků</w:t>
      </w:r>
      <w:r w:rsidR="00450FAD" w:rsidRPr="000D22AC">
        <w:rPr>
          <w:color w:val="000000"/>
          <w:szCs w:val="22"/>
        </w:rPr>
        <w:t xml:space="preserve"> - </w:t>
      </w:r>
      <w:r w:rsidR="00C92789" w:rsidRPr="000D22AC">
        <w:rPr>
          <w:color w:val="000000"/>
          <w:szCs w:val="22"/>
        </w:rPr>
        <w:t>zlepšuje snášenlivost přípravku a zajišťuje lepší očistu.</w:t>
      </w:r>
      <w:r w:rsidR="00626E14" w:rsidRPr="000D22AC">
        <w:rPr>
          <w:color w:val="000000"/>
          <w:szCs w:val="22"/>
        </w:rPr>
        <w:t xml:space="preserve"> </w:t>
      </w:r>
      <w:r w:rsidR="008B19FF">
        <w:rPr>
          <w:color w:val="000000"/>
          <w:szCs w:val="22"/>
        </w:rPr>
        <w:t xml:space="preserve">Je možné podání obou dávek v den koloskopie, pokud je naplánována v odpoledních hodinách. </w:t>
      </w:r>
      <w:r w:rsidR="006B5071" w:rsidRPr="000D22AC">
        <w:rPr>
          <w:color w:val="000000"/>
          <w:szCs w:val="22"/>
        </w:rPr>
        <w:t>Podání celé přípravy den před vyšetřením je méně vhodné</w:t>
      </w:r>
      <w:r w:rsidR="00450FAD" w:rsidRPr="000D22AC">
        <w:rPr>
          <w:color w:val="000000"/>
          <w:szCs w:val="22"/>
        </w:rPr>
        <w:t>.</w:t>
      </w:r>
    </w:p>
    <w:p w:rsidR="00183C03" w:rsidRPr="000D22AC" w:rsidRDefault="00C92789" w:rsidP="005C2EED">
      <w:pPr>
        <w:pStyle w:val="Nadpis4"/>
        <w:jc w:val="both"/>
        <w:rPr>
          <w:b w:val="0"/>
          <w:color w:val="000000"/>
          <w:sz w:val="22"/>
          <w:szCs w:val="22"/>
          <w:u w:val="none"/>
        </w:rPr>
      </w:pPr>
      <w:r w:rsidRPr="000D22AC">
        <w:rPr>
          <w:color w:val="000000"/>
          <w:sz w:val="22"/>
          <w:szCs w:val="22"/>
        </w:rPr>
        <w:t xml:space="preserve">A. </w:t>
      </w:r>
      <w:r w:rsidR="0073130F" w:rsidRPr="000D22AC">
        <w:rPr>
          <w:color w:val="000000"/>
          <w:sz w:val="22"/>
          <w:szCs w:val="22"/>
        </w:rPr>
        <w:t>Fortrans</w:t>
      </w:r>
      <w:r w:rsidR="000665C1">
        <w:rPr>
          <w:color w:val="000000"/>
          <w:sz w:val="22"/>
          <w:szCs w:val="22"/>
          <w:lang w:val="cs-CZ"/>
        </w:rPr>
        <w:t>, Vistaprep</w:t>
      </w:r>
      <w:r w:rsidR="00B84F34" w:rsidRPr="000D22AC">
        <w:rPr>
          <w:color w:val="000000"/>
          <w:sz w:val="22"/>
          <w:szCs w:val="22"/>
        </w:rPr>
        <w:t>.</w:t>
      </w:r>
      <w:r w:rsidR="00B84F34" w:rsidRPr="000D22AC">
        <w:rPr>
          <w:color w:val="000000"/>
          <w:sz w:val="22"/>
          <w:szCs w:val="22"/>
          <w:u w:val="none"/>
        </w:rPr>
        <w:t xml:space="preserve"> </w:t>
      </w:r>
      <w:r w:rsidR="0073130F" w:rsidRPr="000D22AC">
        <w:rPr>
          <w:b w:val="0"/>
          <w:color w:val="000000"/>
          <w:sz w:val="22"/>
          <w:szCs w:val="22"/>
          <w:u w:val="none"/>
        </w:rPr>
        <w:t>Jednu dávku přípravku</w:t>
      </w:r>
      <w:r w:rsidR="000665C1">
        <w:rPr>
          <w:b w:val="0"/>
          <w:color w:val="000000"/>
          <w:sz w:val="22"/>
          <w:szCs w:val="22"/>
          <w:u w:val="none"/>
          <w:lang w:val="cs-CZ"/>
        </w:rPr>
        <w:t xml:space="preserve"> </w:t>
      </w:r>
      <w:r w:rsidR="0073130F" w:rsidRPr="000D22AC">
        <w:rPr>
          <w:b w:val="0"/>
          <w:color w:val="000000"/>
          <w:sz w:val="22"/>
          <w:szCs w:val="22"/>
          <w:u w:val="none"/>
        </w:rPr>
        <w:t>rozpus</w:t>
      </w:r>
      <w:r w:rsidR="000A53B5" w:rsidRPr="000D22AC">
        <w:rPr>
          <w:b w:val="0"/>
          <w:color w:val="000000"/>
          <w:sz w:val="22"/>
          <w:szCs w:val="22"/>
          <w:u w:val="none"/>
        </w:rPr>
        <w:t xml:space="preserve">ťte </w:t>
      </w:r>
      <w:r w:rsidR="0073130F" w:rsidRPr="000D22AC">
        <w:rPr>
          <w:b w:val="0"/>
          <w:color w:val="000000"/>
          <w:sz w:val="22"/>
          <w:szCs w:val="22"/>
          <w:u w:val="none"/>
        </w:rPr>
        <w:t xml:space="preserve">v 1 litru jakéhokoliv „průhledného“ nápoje </w:t>
      </w:r>
      <w:r w:rsidR="001B4FF7">
        <w:rPr>
          <w:b w:val="0"/>
          <w:color w:val="000000"/>
          <w:sz w:val="22"/>
          <w:szCs w:val="22"/>
          <w:u w:val="none"/>
          <w:lang w:val="cs-CZ"/>
        </w:rPr>
        <w:t xml:space="preserve">nejlépe ochuceného </w:t>
      </w:r>
      <w:r w:rsidR="0073130F" w:rsidRPr="000D22AC">
        <w:rPr>
          <w:b w:val="0"/>
          <w:color w:val="000000"/>
          <w:sz w:val="22"/>
          <w:szCs w:val="22"/>
          <w:u w:val="none"/>
        </w:rPr>
        <w:t>(viz výše)</w:t>
      </w:r>
      <w:r w:rsidR="006B5071" w:rsidRPr="000D22AC">
        <w:rPr>
          <w:b w:val="0"/>
          <w:color w:val="000000"/>
          <w:sz w:val="22"/>
          <w:szCs w:val="22"/>
          <w:u w:val="none"/>
        </w:rPr>
        <w:t xml:space="preserve"> a vypij</w:t>
      </w:r>
      <w:r w:rsidR="000A53B5" w:rsidRPr="000D22AC">
        <w:rPr>
          <w:b w:val="0"/>
          <w:color w:val="000000"/>
          <w:sz w:val="22"/>
          <w:szCs w:val="22"/>
          <w:u w:val="none"/>
        </w:rPr>
        <w:t>te</w:t>
      </w:r>
      <w:r w:rsidR="006B5071" w:rsidRPr="000D22AC">
        <w:rPr>
          <w:b w:val="0"/>
          <w:color w:val="000000"/>
          <w:sz w:val="22"/>
          <w:szCs w:val="22"/>
          <w:u w:val="none"/>
        </w:rPr>
        <w:t xml:space="preserve"> přibližně v průběhu </w:t>
      </w:r>
      <w:r w:rsidR="00450FAD" w:rsidRPr="000D22AC">
        <w:rPr>
          <w:b w:val="0"/>
          <w:color w:val="000000"/>
          <w:sz w:val="22"/>
          <w:szCs w:val="22"/>
          <w:u w:val="none"/>
        </w:rPr>
        <w:t>1</w:t>
      </w:r>
      <w:r w:rsidR="006B5071" w:rsidRPr="000D22AC">
        <w:rPr>
          <w:b w:val="0"/>
          <w:color w:val="000000"/>
          <w:sz w:val="22"/>
          <w:szCs w:val="22"/>
          <w:u w:val="none"/>
        </w:rPr>
        <w:t xml:space="preserve"> hodiny</w:t>
      </w:r>
      <w:r w:rsidR="0073130F" w:rsidRPr="000D22AC">
        <w:rPr>
          <w:b w:val="0"/>
          <w:color w:val="000000"/>
          <w:sz w:val="22"/>
          <w:szCs w:val="22"/>
          <w:u w:val="none"/>
        </w:rPr>
        <w:t xml:space="preserve">. K dosažení dostatečné přípravy je obvykle potřeba </w:t>
      </w:r>
      <w:smartTag w:uri="urn:schemas-microsoft-com:office:smarttags" w:element="metricconverter">
        <w:smartTagPr>
          <w:attr w:name="ProductID" w:val="4 litrů"/>
        </w:smartTagPr>
        <w:r w:rsidR="0073130F" w:rsidRPr="000D22AC">
          <w:rPr>
            <w:b w:val="0"/>
            <w:color w:val="000000"/>
            <w:sz w:val="22"/>
            <w:szCs w:val="22"/>
            <w:u w:val="none"/>
          </w:rPr>
          <w:t>4 litrů</w:t>
        </w:r>
      </w:smartTag>
      <w:r w:rsidR="0073130F" w:rsidRPr="000D22AC">
        <w:rPr>
          <w:b w:val="0"/>
          <w:color w:val="000000"/>
          <w:sz w:val="22"/>
          <w:szCs w:val="22"/>
          <w:u w:val="none"/>
        </w:rPr>
        <w:t xml:space="preserve"> roztoku vypitých rychlostí přibližně litr za hodinu. </w:t>
      </w:r>
      <w:r w:rsidR="00183C03" w:rsidRPr="000D22AC">
        <w:rPr>
          <w:b w:val="0"/>
          <w:color w:val="000000"/>
          <w:sz w:val="22"/>
          <w:szCs w:val="22"/>
          <w:u w:val="none"/>
        </w:rPr>
        <w:t xml:space="preserve">Je-li Vaše hmotnost větší než </w:t>
      </w:r>
      <w:smartTag w:uri="urn:schemas-microsoft-com:office:smarttags" w:element="metricconverter">
        <w:smartTagPr>
          <w:attr w:name="ProductID" w:val="90 kg"/>
        </w:smartTagPr>
        <w:r w:rsidR="00183C03" w:rsidRPr="000D22AC">
          <w:rPr>
            <w:b w:val="0"/>
            <w:color w:val="000000"/>
            <w:sz w:val="22"/>
            <w:szCs w:val="22"/>
            <w:u w:val="none"/>
          </w:rPr>
          <w:t>90</w:t>
        </w:r>
        <w:r w:rsidR="00FE0F92" w:rsidRPr="000D22AC">
          <w:rPr>
            <w:b w:val="0"/>
            <w:color w:val="000000"/>
            <w:sz w:val="22"/>
            <w:szCs w:val="22"/>
            <w:u w:val="none"/>
          </w:rPr>
          <w:t xml:space="preserve"> </w:t>
        </w:r>
        <w:r w:rsidR="00183C03" w:rsidRPr="000D22AC">
          <w:rPr>
            <w:b w:val="0"/>
            <w:color w:val="000000"/>
            <w:sz w:val="22"/>
            <w:szCs w:val="22"/>
            <w:u w:val="none"/>
          </w:rPr>
          <w:t>kg</w:t>
        </w:r>
      </w:smartTag>
      <w:r w:rsidR="00183C03" w:rsidRPr="000D22AC">
        <w:rPr>
          <w:b w:val="0"/>
          <w:color w:val="000000"/>
          <w:sz w:val="22"/>
          <w:szCs w:val="22"/>
          <w:u w:val="none"/>
        </w:rPr>
        <w:t xml:space="preserve">, </w:t>
      </w:r>
      <w:r w:rsidR="00F852BE" w:rsidRPr="000D22AC">
        <w:rPr>
          <w:b w:val="0"/>
          <w:color w:val="000000"/>
          <w:sz w:val="22"/>
          <w:szCs w:val="22"/>
          <w:u w:val="none"/>
        </w:rPr>
        <w:t>může být</w:t>
      </w:r>
      <w:r w:rsidR="00183C03" w:rsidRPr="000D22AC">
        <w:rPr>
          <w:b w:val="0"/>
          <w:color w:val="000000"/>
          <w:sz w:val="22"/>
          <w:szCs w:val="22"/>
          <w:u w:val="none"/>
        </w:rPr>
        <w:t xml:space="preserve"> zapotřebí </w:t>
      </w:r>
      <w:r w:rsidR="007B7DBC">
        <w:rPr>
          <w:b w:val="0"/>
          <w:color w:val="000000"/>
          <w:sz w:val="22"/>
          <w:szCs w:val="22"/>
          <w:u w:val="none"/>
          <w:lang w:val="cs-CZ"/>
        </w:rPr>
        <w:t xml:space="preserve">ještě </w:t>
      </w:r>
      <w:r w:rsidR="00183C03" w:rsidRPr="000D22AC">
        <w:rPr>
          <w:b w:val="0"/>
          <w:color w:val="000000"/>
          <w:sz w:val="22"/>
          <w:szCs w:val="22"/>
          <w:u w:val="none"/>
        </w:rPr>
        <w:t xml:space="preserve">větší objem. </w:t>
      </w:r>
    </w:p>
    <w:p w:rsidR="00C92789" w:rsidRDefault="00C92789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B. </w:t>
      </w:r>
      <w:r w:rsidR="00626E14"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>Moviprep</w:t>
      </w:r>
      <w:r w:rsidR="00B84F34"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>.</w:t>
      </w:r>
      <w:r w:rsidR="00D84226"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D22AC">
        <w:rPr>
          <w:rFonts w:ascii="Tahoma" w:hAnsi="Tahoma" w:cs="Tahoma"/>
          <w:color w:val="000000"/>
          <w:sz w:val="22"/>
          <w:szCs w:val="22"/>
        </w:rPr>
        <w:t>Obsah sáčku A a B rozpus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 xml:space="preserve">ťte </w:t>
      </w:r>
      <w:r w:rsidRPr="000D22AC">
        <w:rPr>
          <w:rFonts w:ascii="Tahoma" w:hAnsi="Tahoma" w:cs="Tahoma"/>
          <w:color w:val="000000"/>
          <w:sz w:val="22"/>
          <w:szCs w:val="22"/>
        </w:rPr>
        <w:t>v 1 litru vody a vypij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 xml:space="preserve">te </w:t>
      </w:r>
      <w:r w:rsidRPr="000D22AC">
        <w:rPr>
          <w:rFonts w:ascii="Tahoma" w:hAnsi="Tahoma" w:cs="Tahoma"/>
          <w:color w:val="000000"/>
          <w:sz w:val="22"/>
          <w:szCs w:val="22"/>
        </w:rPr>
        <w:t>přibližně v</w:t>
      </w:r>
      <w:r w:rsidR="00FE001C" w:rsidRPr="000D22AC">
        <w:rPr>
          <w:rFonts w:ascii="Tahoma" w:hAnsi="Tahoma" w:cs="Tahoma"/>
          <w:color w:val="000000"/>
          <w:sz w:val="22"/>
          <w:szCs w:val="22"/>
        </w:rPr>
        <w:t> </w:t>
      </w:r>
      <w:r w:rsidRPr="000D22AC">
        <w:rPr>
          <w:rFonts w:ascii="Tahoma" w:hAnsi="Tahoma" w:cs="Tahoma"/>
          <w:color w:val="000000"/>
          <w:sz w:val="22"/>
          <w:szCs w:val="22"/>
        </w:rPr>
        <w:t>průběhu</w:t>
      </w:r>
      <w:r w:rsidR="00FE001C" w:rsidRPr="000D22AC">
        <w:rPr>
          <w:rFonts w:ascii="Tahoma" w:hAnsi="Tahoma" w:cs="Tahoma"/>
          <w:color w:val="000000"/>
          <w:sz w:val="22"/>
          <w:szCs w:val="22"/>
        </w:rPr>
        <w:br/>
      </w:r>
      <w:r w:rsidR="00450FAD" w:rsidRPr="000D22AC">
        <w:rPr>
          <w:rFonts w:ascii="Tahoma" w:hAnsi="Tahoma" w:cs="Tahoma"/>
          <w:color w:val="000000"/>
          <w:sz w:val="22"/>
          <w:szCs w:val="22"/>
        </w:rPr>
        <w:t xml:space="preserve">1-2 </w:t>
      </w:r>
      <w:r w:rsidRPr="000D22AC">
        <w:rPr>
          <w:rFonts w:ascii="Tahoma" w:hAnsi="Tahoma" w:cs="Tahoma"/>
          <w:color w:val="000000"/>
          <w:sz w:val="22"/>
          <w:szCs w:val="22"/>
        </w:rPr>
        <w:t>hodin. Druhou dávku připrav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>te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obdobným způsobem a vypij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>te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ráno před vyšetřením. 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>Musíte-li užít</w:t>
      </w:r>
      <w:r w:rsidR="00450FAD" w:rsidRPr="000D22AC">
        <w:rPr>
          <w:rFonts w:ascii="Tahoma" w:hAnsi="Tahoma" w:cs="Tahoma"/>
          <w:color w:val="000000"/>
          <w:sz w:val="22"/>
          <w:szCs w:val="22"/>
        </w:rPr>
        <w:t xml:space="preserve"> obě dávky ve stejný den, je možné navázat ihned podáním druhé dávky. </w:t>
      </w:r>
      <w:r w:rsidR="00244E3A" w:rsidRPr="000D22AC">
        <w:rPr>
          <w:rFonts w:ascii="Tahoma" w:hAnsi="Tahoma" w:cs="Tahoma"/>
          <w:color w:val="000000"/>
          <w:sz w:val="22"/>
          <w:szCs w:val="22"/>
        </w:rPr>
        <w:t xml:space="preserve">Kromě užití přípravy je třeba vypít </w:t>
      </w:r>
      <w:r w:rsidR="001B4FF7">
        <w:rPr>
          <w:rFonts w:ascii="Tahoma" w:hAnsi="Tahoma" w:cs="Tahoma"/>
          <w:color w:val="000000"/>
          <w:sz w:val="22"/>
          <w:szCs w:val="22"/>
        </w:rPr>
        <w:t xml:space="preserve">navíc </w:t>
      </w:r>
      <w:r w:rsidR="001D79F5" w:rsidRPr="000D22AC">
        <w:rPr>
          <w:rFonts w:ascii="Tahoma" w:hAnsi="Tahoma" w:cs="Tahoma"/>
          <w:color w:val="000000"/>
          <w:sz w:val="22"/>
          <w:szCs w:val="22"/>
        </w:rPr>
        <w:t xml:space="preserve">celkem </w:t>
      </w:r>
      <w:r w:rsidR="00244E3A" w:rsidRPr="000D22AC">
        <w:rPr>
          <w:rFonts w:ascii="Tahoma" w:hAnsi="Tahoma" w:cs="Tahoma"/>
          <w:color w:val="000000"/>
          <w:sz w:val="22"/>
          <w:szCs w:val="22"/>
        </w:rPr>
        <w:t xml:space="preserve">nejméně </w:t>
      </w:r>
      <w:smartTag w:uri="urn:schemas-microsoft-com:office:smarttags" w:element="metricconverter">
        <w:smartTagPr>
          <w:attr w:name="ProductID" w:val="1 litr"/>
        </w:smartTagPr>
        <w:r w:rsidR="00244E3A" w:rsidRPr="000D22AC">
          <w:rPr>
            <w:rFonts w:ascii="Tahoma" w:hAnsi="Tahoma" w:cs="Tahoma"/>
            <w:color w:val="000000"/>
            <w:sz w:val="22"/>
            <w:szCs w:val="22"/>
          </w:rPr>
          <w:t>1 litr</w:t>
        </w:r>
      </w:smartTag>
      <w:r w:rsidR="00244E3A" w:rsidRPr="000D22AC">
        <w:rPr>
          <w:rFonts w:ascii="Tahoma" w:hAnsi="Tahoma" w:cs="Tahoma"/>
          <w:color w:val="000000"/>
          <w:sz w:val="22"/>
          <w:szCs w:val="22"/>
        </w:rPr>
        <w:t xml:space="preserve"> „průhledné“ tekutiny.</w:t>
      </w:r>
    </w:p>
    <w:p w:rsidR="006E27EF" w:rsidRDefault="006E27EF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76383C">
        <w:rPr>
          <w:rFonts w:ascii="Tahoma" w:hAnsi="Tahoma" w:cs="Tahoma"/>
          <w:b/>
          <w:color w:val="000000"/>
          <w:sz w:val="22"/>
          <w:szCs w:val="22"/>
          <w:u w:val="single"/>
        </w:rPr>
        <w:t>C. Plenvu.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D22AC">
        <w:rPr>
          <w:rFonts w:ascii="Tahoma" w:hAnsi="Tahoma" w:cs="Tahoma"/>
          <w:color w:val="000000"/>
          <w:sz w:val="22"/>
          <w:szCs w:val="22"/>
        </w:rPr>
        <w:t>Obsah sáčku</w:t>
      </w:r>
      <w:r>
        <w:rPr>
          <w:rFonts w:ascii="Tahoma" w:hAnsi="Tahoma" w:cs="Tahoma"/>
          <w:color w:val="000000"/>
          <w:sz w:val="22"/>
          <w:szCs w:val="22"/>
        </w:rPr>
        <w:t xml:space="preserve"> pro 1. dávku </w:t>
      </w:r>
      <w:r w:rsidRPr="000D22AC">
        <w:rPr>
          <w:rFonts w:ascii="Tahoma" w:hAnsi="Tahoma" w:cs="Tahoma"/>
          <w:color w:val="000000"/>
          <w:sz w:val="22"/>
          <w:szCs w:val="22"/>
        </w:rPr>
        <w:t>rozpusťte v </w:t>
      </w:r>
      <w:r>
        <w:rPr>
          <w:rFonts w:ascii="Tahoma" w:hAnsi="Tahoma" w:cs="Tahoma"/>
          <w:color w:val="000000"/>
          <w:sz w:val="22"/>
          <w:szCs w:val="22"/>
        </w:rPr>
        <w:t xml:space="preserve">500 ml </w:t>
      </w:r>
      <w:r w:rsidRPr="000D22AC">
        <w:rPr>
          <w:rFonts w:ascii="Tahoma" w:hAnsi="Tahoma" w:cs="Tahoma"/>
          <w:color w:val="000000"/>
          <w:sz w:val="22"/>
          <w:szCs w:val="22"/>
        </w:rPr>
        <w:t>vody a vypijte přibližně v průběhu</w:t>
      </w:r>
      <w:r w:rsidRPr="000D22AC"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t>30 minut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. Druhou dávku připravte </w:t>
      </w:r>
      <w:r>
        <w:rPr>
          <w:rFonts w:ascii="Tahoma" w:hAnsi="Tahoma" w:cs="Tahoma"/>
          <w:color w:val="000000"/>
          <w:sz w:val="22"/>
          <w:szCs w:val="22"/>
        </w:rPr>
        <w:t xml:space="preserve">rozpuštěním sáčku A a B 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a vypijte </w:t>
      </w:r>
      <w:r>
        <w:rPr>
          <w:rFonts w:ascii="Tahoma" w:hAnsi="Tahoma" w:cs="Tahoma"/>
          <w:color w:val="000000"/>
          <w:sz w:val="22"/>
          <w:szCs w:val="22"/>
        </w:rPr>
        <w:t xml:space="preserve">v průběhu 30 minut 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ráno před vyšetřením. Musíte-li užít obě dávky ve stejný den, je </w:t>
      </w:r>
      <w:r>
        <w:rPr>
          <w:rFonts w:ascii="Tahoma" w:hAnsi="Tahoma" w:cs="Tahoma"/>
          <w:color w:val="000000"/>
          <w:sz w:val="22"/>
          <w:szCs w:val="22"/>
        </w:rPr>
        <w:t>nutné dodržet odstup 1 hodiny.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Kromě užití přípravy je třeba vypít </w:t>
      </w:r>
      <w:r w:rsidR="001B4FF7">
        <w:rPr>
          <w:rFonts w:ascii="Tahoma" w:hAnsi="Tahoma" w:cs="Tahoma"/>
          <w:color w:val="000000"/>
          <w:sz w:val="22"/>
          <w:szCs w:val="22"/>
        </w:rPr>
        <w:t xml:space="preserve">navíc 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celkem nejméně </w:t>
      </w:r>
      <w:smartTag w:uri="urn:schemas-microsoft-com:office:smarttags" w:element="metricconverter">
        <w:smartTagPr>
          <w:attr w:name="ProductID" w:val="1 litr"/>
        </w:smartTagPr>
        <w:r w:rsidRPr="000D22AC">
          <w:rPr>
            <w:rFonts w:ascii="Tahoma" w:hAnsi="Tahoma" w:cs="Tahoma"/>
            <w:color w:val="000000"/>
            <w:sz w:val="22"/>
            <w:szCs w:val="22"/>
          </w:rPr>
          <w:t>1 litr</w:t>
        </w:r>
      </w:smartTag>
      <w:r w:rsidRPr="000D22AC">
        <w:rPr>
          <w:rFonts w:ascii="Tahoma" w:hAnsi="Tahoma" w:cs="Tahoma"/>
          <w:color w:val="000000"/>
          <w:sz w:val="22"/>
          <w:szCs w:val="22"/>
        </w:rPr>
        <w:t xml:space="preserve"> „průhledné“ tekutiny.</w:t>
      </w:r>
    </w:p>
    <w:p w:rsidR="000665C1" w:rsidRPr="000D22AC" w:rsidRDefault="00FE1DC0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</w:t>
      </w:r>
      <w:r w:rsidR="000665C1" w:rsidRPr="000665C1">
        <w:rPr>
          <w:rFonts w:ascii="Tahoma" w:hAnsi="Tahoma" w:cs="Tahoma"/>
          <w:b/>
          <w:color w:val="000000"/>
          <w:sz w:val="22"/>
          <w:szCs w:val="22"/>
          <w:u w:val="single"/>
        </w:rPr>
        <w:t>. Clensia.</w:t>
      </w:r>
      <w:r w:rsidR="000665C1">
        <w:rPr>
          <w:rFonts w:ascii="Tahoma" w:hAnsi="Tahoma" w:cs="Tahoma"/>
          <w:color w:val="000000"/>
          <w:sz w:val="22"/>
          <w:szCs w:val="22"/>
        </w:rPr>
        <w:t xml:space="preserve"> Obsah dvou sáčků A a dvou sáčků B rozpusťte v 1 litru vody a vypijte přibližně v průběhu 1-2 hodin. Druhou dávku připravte obdobným způsobem a vypijte ráno před vyšetřením. Musíte-li užít obě dávky ve stejný den, je </w:t>
      </w:r>
      <w:r w:rsidR="006E27EF">
        <w:rPr>
          <w:rFonts w:ascii="Tahoma" w:hAnsi="Tahoma" w:cs="Tahoma"/>
          <w:color w:val="000000"/>
          <w:sz w:val="22"/>
          <w:szCs w:val="22"/>
        </w:rPr>
        <w:t xml:space="preserve">nutné </w:t>
      </w:r>
      <w:r w:rsidR="005A7F5D">
        <w:rPr>
          <w:rFonts w:ascii="Tahoma" w:hAnsi="Tahoma" w:cs="Tahoma"/>
          <w:color w:val="000000"/>
          <w:sz w:val="22"/>
          <w:szCs w:val="22"/>
        </w:rPr>
        <w:t xml:space="preserve">dodržet </w:t>
      </w:r>
      <w:r w:rsidR="000665C1">
        <w:rPr>
          <w:rFonts w:ascii="Tahoma" w:hAnsi="Tahoma" w:cs="Tahoma"/>
          <w:color w:val="000000"/>
          <w:sz w:val="22"/>
          <w:szCs w:val="22"/>
        </w:rPr>
        <w:t xml:space="preserve">odstup 1 hodiny. Kromě užití přípravy je třeba vypít </w:t>
      </w:r>
      <w:r w:rsidR="001B4FF7">
        <w:rPr>
          <w:rFonts w:ascii="Tahoma" w:hAnsi="Tahoma" w:cs="Tahoma"/>
          <w:color w:val="000000"/>
          <w:sz w:val="22"/>
          <w:szCs w:val="22"/>
        </w:rPr>
        <w:t xml:space="preserve">navíc </w:t>
      </w:r>
      <w:r w:rsidR="000665C1">
        <w:rPr>
          <w:rFonts w:ascii="Tahoma" w:hAnsi="Tahoma" w:cs="Tahoma"/>
          <w:color w:val="000000"/>
          <w:sz w:val="22"/>
          <w:szCs w:val="22"/>
        </w:rPr>
        <w:t xml:space="preserve">celkem nejméně 1 litr "průhledné" tekutiny. </w:t>
      </w:r>
    </w:p>
    <w:p w:rsidR="00183C03" w:rsidRPr="000D22AC" w:rsidRDefault="00FE1DC0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E</w:t>
      </w:r>
      <w:r w:rsidR="00C92789"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. </w:t>
      </w:r>
      <w:r w:rsidR="0073130F"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>Picoprep</w:t>
      </w:r>
      <w:r w:rsidR="00F546F8"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>, CitraFleet</w:t>
      </w:r>
      <w:r w:rsidR="00B84F34" w:rsidRPr="000D22AC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73130F" w:rsidRPr="000D22AC">
        <w:rPr>
          <w:rFonts w:ascii="Tahoma" w:hAnsi="Tahoma" w:cs="Tahoma"/>
          <w:color w:val="000000"/>
          <w:sz w:val="22"/>
          <w:szCs w:val="22"/>
        </w:rPr>
        <w:t>Obsah jednoho sáčku rozpus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 xml:space="preserve">ťte </w:t>
      </w:r>
      <w:r w:rsidR="0073130F" w:rsidRPr="000D22AC">
        <w:rPr>
          <w:rFonts w:ascii="Tahoma" w:hAnsi="Tahoma" w:cs="Tahoma"/>
          <w:color w:val="000000"/>
          <w:sz w:val="22"/>
          <w:szCs w:val="22"/>
        </w:rPr>
        <w:t>ve sklenici nápoje (cca 150</w:t>
      </w:r>
      <w:r w:rsidR="008A7CB4"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3130F" w:rsidRPr="000D22AC">
        <w:rPr>
          <w:rFonts w:ascii="Tahoma" w:hAnsi="Tahoma" w:cs="Tahoma"/>
          <w:color w:val="000000"/>
          <w:sz w:val="22"/>
          <w:szCs w:val="22"/>
        </w:rPr>
        <w:t>ml, pokud se roztok zahřeje, nech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 xml:space="preserve">te </w:t>
      </w:r>
      <w:r w:rsidR="0073130F" w:rsidRPr="000D22AC">
        <w:rPr>
          <w:rFonts w:ascii="Tahoma" w:hAnsi="Tahoma" w:cs="Tahoma"/>
          <w:color w:val="000000"/>
          <w:sz w:val="22"/>
          <w:szCs w:val="22"/>
        </w:rPr>
        <w:t>jej vychladnout)</w:t>
      </w:r>
      <w:r w:rsidR="006B5071" w:rsidRPr="000D22AC">
        <w:rPr>
          <w:rFonts w:ascii="Tahoma" w:hAnsi="Tahoma" w:cs="Tahoma"/>
          <w:color w:val="000000"/>
          <w:sz w:val="22"/>
          <w:szCs w:val="22"/>
        </w:rPr>
        <w:t xml:space="preserve"> a vypij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>te</w:t>
      </w:r>
      <w:r w:rsidR="0073130F" w:rsidRPr="000D22AC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183C03" w:rsidRPr="000D22AC">
        <w:rPr>
          <w:rFonts w:ascii="Tahoma" w:hAnsi="Tahoma" w:cs="Tahoma"/>
          <w:color w:val="000000"/>
          <w:sz w:val="22"/>
          <w:szCs w:val="22"/>
        </w:rPr>
        <w:t>Kromě užití přípravy je třeba pít „průhledné“ tekutiny nejméně 250</w:t>
      </w:r>
      <w:r w:rsidR="008A7CB4"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83C03" w:rsidRPr="000D22AC">
        <w:rPr>
          <w:rFonts w:ascii="Tahoma" w:hAnsi="Tahoma" w:cs="Tahoma"/>
          <w:color w:val="000000"/>
          <w:sz w:val="22"/>
          <w:szCs w:val="22"/>
        </w:rPr>
        <w:t>ml za hodinu (po užití každého sáčku nejméně 1,5-</w:t>
      </w:r>
      <w:smartTag w:uri="urn:schemas-microsoft-com:office:smarttags" w:element="metricconverter">
        <w:smartTagPr>
          <w:attr w:name="ProductID" w:val="2 litry"/>
        </w:smartTagPr>
        <w:r w:rsidR="00183C03" w:rsidRPr="000D22AC">
          <w:rPr>
            <w:rFonts w:ascii="Tahoma" w:hAnsi="Tahoma" w:cs="Tahoma"/>
            <w:color w:val="000000"/>
            <w:sz w:val="22"/>
            <w:szCs w:val="22"/>
          </w:rPr>
          <w:t>2 litry</w:t>
        </w:r>
      </w:smartTag>
      <w:r w:rsidR="00183C03" w:rsidRPr="000D22AC">
        <w:rPr>
          <w:rFonts w:ascii="Tahoma" w:hAnsi="Tahoma" w:cs="Tahoma"/>
          <w:color w:val="000000"/>
          <w:sz w:val="22"/>
          <w:szCs w:val="22"/>
        </w:rPr>
        <w:t>).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 xml:space="preserve"> Druhou dáv</w:t>
      </w:r>
      <w:r w:rsidR="006B5071" w:rsidRPr="000D22AC">
        <w:rPr>
          <w:rFonts w:ascii="Tahoma" w:hAnsi="Tahoma" w:cs="Tahoma"/>
          <w:color w:val="000000"/>
          <w:sz w:val="22"/>
          <w:szCs w:val="22"/>
        </w:rPr>
        <w:t>ku připrav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>te</w:t>
      </w:r>
      <w:r w:rsidR="006B5071" w:rsidRPr="000D22AC">
        <w:rPr>
          <w:rFonts w:ascii="Tahoma" w:hAnsi="Tahoma" w:cs="Tahoma"/>
          <w:color w:val="000000"/>
          <w:sz w:val="22"/>
          <w:szCs w:val="22"/>
        </w:rPr>
        <w:t xml:space="preserve"> o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>bdobným způsobem a vypij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>te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 xml:space="preserve"> ráno před vyšetřením.</w:t>
      </w:r>
      <w:r w:rsidR="00450FAD"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>Musíte-li užít</w:t>
      </w:r>
      <w:r w:rsidR="00450FAD" w:rsidRPr="000D22AC">
        <w:rPr>
          <w:rFonts w:ascii="Tahoma" w:hAnsi="Tahoma" w:cs="Tahoma"/>
          <w:color w:val="000000"/>
          <w:sz w:val="22"/>
          <w:szCs w:val="22"/>
        </w:rPr>
        <w:t xml:space="preserve"> obě dávky ve stejný den, je nutné dodržet odstup dávek nejméně 6 hodin.</w:t>
      </w:r>
    </w:p>
    <w:p w:rsidR="00E5157A" w:rsidRPr="000D22AC" w:rsidRDefault="00FE1DC0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F</w:t>
      </w:r>
      <w:r w:rsidR="00C92789"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. </w:t>
      </w:r>
      <w:r w:rsidR="00D84226"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>Eziclen</w:t>
      </w:r>
      <w:r w:rsidR="000A53B5"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>.</w:t>
      </w:r>
      <w:r w:rsidR="00D84226"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626E14" w:rsidRPr="000D22AC">
        <w:rPr>
          <w:rFonts w:ascii="Tahoma" w:hAnsi="Tahoma" w:cs="Tahoma"/>
          <w:color w:val="000000"/>
          <w:sz w:val="22"/>
          <w:szCs w:val="22"/>
        </w:rPr>
        <w:t>Obsah jedn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 xml:space="preserve">é lahvičky </w:t>
      </w:r>
      <w:r w:rsidR="006B5071" w:rsidRPr="000D22AC">
        <w:rPr>
          <w:rFonts w:ascii="Tahoma" w:hAnsi="Tahoma" w:cs="Tahoma"/>
          <w:color w:val="000000"/>
          <w:sz w:val="22"/>
          <w:szCs w:val="22"/>
        </w:rPr>
        <w:t>zře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 xml:space="preserve">ďte </w:t>
      </w:r>
      <w:r w:rsidR="00450FAD" w:rsidRPr="000D22AC">
        <w:rPr>
          <w:rFonts w:ascii="Tahoma" w:hAnsi="Tahoma" w:cs="Tahoma"/>
          <w:color w:val="000000"/>
          <w:sz w:val="22"/>
          <w:szCs w:val="22"/>
        </w:rPr>
        <w:t xml:space="preserve">vodou 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>do celkového objemu 500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 xml:space="preserve">ml </w:t>
      </w:r>
      <w:r w:rsidR="006B5071" w:rsidRPr="000D22AC">
        <w:rPr>
          <w:rFonts w:ascii="Tahoma" w:hAnsi="Tahoma" w:cs="Tahoma"/>
          <w:color w:val="000000"/>
          <w:sz w:val="22"/>
          <w:szCs w:val="22"/>
        </w:rPr>
        <w:t>(</w:t>
      </w:r>
      <w:r w:rsidR="00222D7E" w:rsidRPr="000D22AC">
        <w:rPr>
          <w:rFonts w:ascii="Tahoma" w:hAnsi="Tahoma" w:cs="Tahoma"/>
          <w:color w:val="000000"/>
          <w:sz w:val="22"/>
          <w:szCs w:val="22"/>
        </w:rPr>
        <w:t xml:space="preserve">možno použít </w:t>
      </w:r>
      <w:r w:rsidR="006B5071" w:rsidRPr="000D22AC">
        <w:rPr>
          <w:rFonts w:ascii="Tahoma" w:hAnsi="Tahoma" w:cs="Tahoma"/>
          <w:color w:val="000000"/>
          <w:sz w:val="22"/>
          <w:szCs w:val="22"/>
        </w:rPr>
        <w:t>odměrky</w:t>
      </w:r>
      <w:r w:rsidR="00DA2B6F" w:rsidRPr="000D22AC">
        <w:rPr>
          <w:rFonts w:ascii="Tahoma" w:hAnsi="Tahoma" w:cs="Tahoma"/>
          <w:color w:val="000000"/>
          <w:sz w:val="22"/>
          <w:szCs w:val="22"/>
        </w:rPr>
        <w:t xml:space="preserve"> v balení</w:t>
      </w:r>
      <w:r w:rsidR="006B5071" w:rsidRPr="000D22AC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>a vypij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>te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 xml:space="preserve"> přibližně v průběhu</w:t>
      </w:r>
      <w:r w:rsidR="007677FC">
        <w:rPr>
          <w:rFonts w:ascii="Tahoma" w:hAnsi="Tahoma" w:cs="Tahoma"/>
          <w:color w:val="000000"/>
          <w:sz w:val="22"/>
          <w:szCs w:val="22"/>
        </w:rPr>
        <w:t xml:space="preserve"> 1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 xml:space="preserve"> hodiny. Poté je třeba vypít </w:t>
      </w:r>
      <w:r w:rsidR="001D79F5" w:rsidRPr="000D22AC">
        <w:rPr>
          <w:rFonts w:ascii="Tahoma" w:hAnsi="Tahoma" w:cs="Tahoma"/>
          <w:color w:val="000000"/>
          <w:sz w:val="22"/>
          <w:szCs w:val="22"/>
        </w:rPr>
        <w:t xml:space="preserve">ke každé dávce 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>navíc</w:t>
      </w:r>
      <w:r w:rsidR="00244E3A" w:rsidRPr="000D22AC">
        <w:rPr>
          <w:rFonts w:ascii="Tahoma" w:hAnsi="Tahoma" w:cs="Tahoma"/>
          <w:color w:val="000000"/>
          <w:sz w:val="22"/>
          <w:szCs w:val="22"/>
        </w:rPr>
        <w:t xml:space="preserve"> nejméně </w:t>
      </w:r>
      <w:smartTag w:uri="urn:schemas-microsoft-com:office:smarttags" w:element="metricconverter">
        <w:smartTagPr>
          <w:attr w:name="ProductID" w:val="1 litr"/>
        </w:smartTagPr>
        <w:r w:rsidR="00C92789" w:rsidRPr="000D22AC">
          <w:rPr>
            <w:rFonts w:ascii="Tahoma" w:hAnsi="Tahoma" w:cs="Tahoma"/>
            <w:color w:val="000000"/>
            <w:sz w:val="22"/>
            <w:szCs w:val="22"/>
          </w:rPr>
          <w:t>1 litr</w:t>
        </w:r>
      </w:smartTag>
      <w:r w:rsidR="00C92789" w:rsidRPr="000D22AC">
        <w:rPr>
          <w:rFonts w:ascii="Tahoma" w:hAnsi="Tahoma" w:cs="Tahoma"/>
          <w:color w:val="000000"/>
          <w:sz w:val="22"/>
          <w:szCs w:val="22"/>
        </w:rPr>
        <w:t xml:space="preserve"> „průhledné“ tekutiny. Druhou dávku připrav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 xml:space="preserve">te </w:t>
      </w:r>
      <w:r w:rsidR="00C92789" w:rsidRPr="000D22AC">
        <w:rPr>
          <w:rFonts w:ascii="Tahoma" w:hAnsi="Tahoma" w:cs="Tahoma"/>
          <w:color w:val="000000"/>
          <w:sz w:val="22"/>
          <w:szCs w:val="22"/>
        </w:rPr>
        <w:t>obdobným způsobem ráno před vyšetřením</w:t>
      </w:r>
      <w:r w:rsidR="00450FAD" w:rsidRPr="000D22AC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0A53B5" w:rsidRPr="000D22AC">
        <w:rPr>
          <w:rFonts w:ascii="Tahoma" w:hAnsi="Tahoma" w:cs="Tahoma"/>
          <w:color w:val="000000"/>
          <w:sz w:val="22"/>
          <w:szCs w:val="22"/>
        </w:rPr>
        <w:t xml:space="preserve">Musíte-li užít </w:t>
      </w:r>
      <w:r w:rsidR="00450FAD" w:rsidRPr="000D22AC">
        <w:rPr>
          <w:rFonts w:ascii="Tahoma" w:hAnsi="Tahoma" w:cs="Tahoma"/>
          <w:color w:val="000000"/>
          <w:sz w:val="22"/>
          <w:szCs w:val="22"/>
        </w:rPr>
        <w:t>obě dávky ve stejný den, je možné navázat ihned podáním druhé dávky.</w:t>
      </w:r>
      <w:r w:rsidR="00D84226"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C92789" w:rsidRPr="000D22AC" w:rsidRDefault="00C92789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6E27EF" w:rsidRDefault="005E0A39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Pokud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se </w:t>
      </w:r>
      <w:r>
        <w:rPr>
          <w:rFonts w:ascii="Tahoma" w:hAnsi="Tahoma" w:cs="Tahoma"/>
          <w:color w:val="000000"/>
          <w:sz w:val="22"/>
          <w:szCs w:val="22"/>
        </w:rPr>
        <w:t xml:space="preserve">Vám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>nepodařilo dosáhnout dostatečné přípravy, oznamte</w:t>
      </w:r>
      <w:r>
        <w:rPr>
          <w:rFonts w:ascii="Tahoma" w:hAnsi="Tahoma" w:cs="Tahoma"/>
          <w:color w:val="000000"/>
          <w:sz w:val="22"/>
          <w:szCs w:val="22"/>
        </w:rPr>
        <w:t xml:space="preserve"> to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 xml:space="preserve"> sestře i lékaři </w:t>
      </w:r>
      <w:r>
        <w:rPr>
          <w:rFonts w:ascii="Tahoma" w:hAnsi="Tahoma" w:cs="Tahoma"/>
          <w:color w:val="000000"/>
          <w:sz w:val="22"/>
          <w:szCs w:val="22"/>
        </w:rPr>
        <w:t xml:space="preserve">ještě </w:t>
      </w:r>
      <w:r w:rsidR="00EB6F86" w:rsidRPr="000D22AC">
        <w:rPr>
          <w:rFonts w:ascii="Tahoma" w:hAnsi="Tahoma" w:cs="Tahoma"/>
          <w:color w:val="000000"/>
          <w:sz w:val="22"/>
          <w:szCs w:val="22"/>
        </w:rPr>
        <w:t>před vyšetřením.</w:t>
      </w:r>
    </w:p>
    <w:p w:rsidR="00E50D10" w:rsidRPr="000D22AC" w:rsidRDefault="00E50D10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EB6F86" w:rsidRPr="000D22AC" w:rsidRDefault="00EB6F86" w:rsidP="005C2EED">
      <w:pPr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0D22AC">
        <w:rPr>
          <w:rFonts w:ascii="Tahoma" w:hAnsi="Tahoma" w:cs="Tahoma"/>
          <w:b/>
          <w:color w:val="000000"/>
          <w:sz w:val="22"/>
          <w:szCs w:val="22"/>
          <w:u w:val="single"/>
        </w:rPr>
        <w:t>Po výkonu</w:t>
      </w:r>
    </w:p>
    <w:p w:rsidR="00EB6F86" w:rsidRPr="000D22AC" w:rsidRDefault="00EB6F86" w:rsidP="005C2EED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D22AC">
        <w:rPr>
          <w:rFonts w:ascii="Tahoma" w:hAnsi="Tahoma" w:cs="Tahoma"/>
          <w:color w:val="000000"/>
          <w:sz w:val="22"/>
          <w:szCs w:val="22"/>
        </w:rPr>
        <w:t>Po výkonu budete sledováni na zotavovací místnosti</w:t>
      </w:r>
      <w:r w:rsidR="00BB6B0D" w:rsidRPr="000D22AC">
        <w:rPr>
          <w:rFonts w:ascii="Tahoma" w:hAnsi="Tahoma" w:cs="Tahoma"/>
          <w:color w:val="000000"/>
          <w:sz w:val="22"/>
          <w:szCs w:val="22"/>
        </w:rPr>
        <w:t xml:space="preserve"> do </w:t>
      </w:r>
      <w:r w:rsidRPr="000D22AC">
        <w:rPr>
          <w:rFonts w:ascii="Tahoma" w:hAnsi="Tahoma" w:cs="Tahoma"/>
          <w:color w:val="000000"/>
          <w:sz w:val="22"/>
          <w:szCs w:val="22"/>
        </w:rPr>
        <w:t>odez</w:t>
      </w:r>
      <w:r w:rsidR="00BB6B0D" w:rsidRPr="000D22AC">
        <w:rPr>
          <w:rFonts w:ascii="Tahoma" w:hAnsi="Tahoma" w:cs="Tahoma"/>
          <w:color w:val="000000"/>
          <w:sz w:val="22"/>
          <w:szCs w:val="22"/>
        </w:rPr>
        <w:t>ně</w:t>
      </w:r>
      <w:r w:rsidRPr="000D22AC">
        <w:rPr>
          <w:rFonts w:ascii="Tahoma" w:hAnsi="Tahoma" w:cs="Tahoma"/>
          <w:color w:val="000000"/>
          <w:sz w:val="22"/>
          <w:szCs w:val="22"/>
        </w:rPr>
        <w:t>ní efekt</w:t>
      </w:r>
      <w:r w:rsidR="00BB6B0D" w:rsidRPr="000D22AC">
        <w:rPr>
          <w:rFonts w:ascii="Tahoma" w:hAnsi="Tahoma" w:cs="Tahoma"/>
          <w:color w:val="000000"/>
          <w:sz w:val="22"/>
          <w:szCs w:val="22"/>
        </w:rPr>
        <w:t>u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 tišících prostředků. Bude Vám předána zpráva z vyšetření </w:t>
      </w:r>
      <w:r w:rsidR="00BB6B0D" w:rsidRPr="000D22AC">
        <w:rPr>
          <w:rFonts w:ascii="Tahoma" w:hAnsi="Tahoma" w:cs="Tahoma"/>
          <w:color w:val="000000"/>
          <w:sz w:val="22"/>
          <w:szCs w:val="22"/>
        </w:rPr>
        <w:t xml:space="preserve">pro odesílajícího lékaře </w:t>
      </w:r>
      <w:r w:rsidRPr="000D22AC">
        <w:rPr>
          <w:rFonts w:ascii="Tahoma" w:hAnsi="Tahoma" w:cs="Tahoma"/>
          <w:color w:val="000000"/>
          <w:sz w:val="22"/>
          <w:szCs w:val="22"/>
        </w:rPr>
        <w:t xml:space="preserve">a </w:t>
      </w:r>
      <w:r w:rsidR="00BE0B01" w:rsidRPr="000D22AC">
        <w:rPr>
          <w:rFonts w:ascii="Tahoma" w:hAnsi="Tahoma" w:cs="Tahoma"/>
          <w:color w:val="000000"/>
          <w:sz w:val="22"/>
          <w:szCs w:val="22"/>
        </w:rPr>
        <w:t xml:space="preserve">po předání doprovodné osobě </w:t>
      </w:r>
      <w:r w:rsidRPr="000D22AC">
        <w:rPr>
          <w:rFonts w:ascii="Tahoma" w:hAnsi="Tahoma" w:cs="Tahoma"/>
          <w:color w:val="000000"/>
          <w:sz w:val="22"/>
          <w:szCs w:val="22"/>
        </w:rPr>
        <w:t>budete moci</w:t>
      </w:r>
      <w:r w:rsidR="00BE0B01" w:rsidRPr="000D22A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D22AC">
        <w:rPr>
          <w:rFonts w:ascii="Tahoma" w:hAnsi="Tahoma" w:cs="Tahoma"/>
          <w:color w:val="000000"/>
          <w:sz w:val="22"/>
          <w:szCs w:val="22"/>
        </w:rPr>
        <w:t>odejít. Pak můžete jíst běžnou stravu, vhodný je zvýšený příjem tekutin. V určitých případech, na které Vás lékař upozorní, je po výkonu nutná hospitalizace nebo jiná režimová omezení.</w:t>
      </w:r>
    </w:p>
    <w:sectPr w:rsidR="00EB6F86" w:rsidRPr="000D22AC" w:rsidSect="000D22AC">
      <w:headerReference w:type="default" r:id="rId7"/>
      <w:footerReference w:type="default" r:id="rId8"/>
      <w:pgSz w:w="11906" w:h="16838"/>
      <w:pgMar w:top="1304" w:right="124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C9" w:rsidRDefault="003610C9">
      <w:r>
        <w:separator/>
      </w:r>
    </w:p>
  </w:endnote>
  <w:endnote w:type="continuationSeparator" w:id="0">
    <w:p w:rsidR="003610C9" w:rsidRDefault="0036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ED" w:rsidRPr="00D70532" w:rsidRDefault="00204D76" w:rsidP="000F1671">
    <w:pPr>
      <w:pStyle w:val="Zpat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Příprava ke koloskopii</w:t>
    </w:r>
    <w:r w:rsidR="005C2EED" w:rsidRPr="00D70532">
      <w:rPr>
        <w:rFonts w:ascii="Tahoma" w:hAnsi="Tahoma" w:cs="Tahoma"/>
        <w:i/>
        <w:sz w:val="16"/>
        <w:szCs w:val="16"/>
      </w:rPr>
      <w:t>,</w:t>
    </w:r>
    <w:r w:rsidR="005C2EED">
      <w:rPr>
        <w:rFonts w:ascii="Tahoma" w:hAnsi="Tahoma" w:cs="Tahoma"/>
        <w:i/>
        <w:sz w:val="16"/>
        <w:szCs w:val="16"/>
      </w:rPr>
      <w:t xml:space="preserve"> </w:t>
    </w:r>
    <w:r>
      <w:rPr>
        <w:rFonts w:ascii="Tahoma" w:hAnsi="Tahoma" w:cs="Tahoma"/>
        <w:i/>
        <w:sz w:val="16"/>
        <w:szCs w:val="16"/>
      </w:rPr>
      <w:t xml:space="preserve">únor </w:t>
    </w:r>
    <w:r w:rsidR="005C2EED">
      <w:rPr>
        <w:rFonts w:ascii="Tahoma" w:hAnsi="Tahoma" w:cs="Tahoma"/>
        <w:i/>
        <w:sz w:val="16"/>
        <w:szCs w:val="16"/>
      </w:rPr>
      <w:t>2019</w:t>
    </w:r>
    <w:r w:rsidR="000F1671">
      <w:rPr>
        <w:rFonts w:ascii="Tahoma" w:hAnsi="Tahoma" w:cs="Tahoma"/>
        <w:i/>
        <w:sz w:val="16"/>
        <w:szCs w:val="16"/>
      </w:rPr>
      <w:t>, priprava@polyposy.cz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C9" w:rsidRDefault="003610C9">
      <w:r>
        <w:separator/>
      </w:r>
    </w:p>
  </w:footnote>
  <w:footnote w:type="continuationSeparator" w:id="0">
    <w:p w:rsidR="003610C9" w:rsidRDefault="0036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E8" w:rsidRPr="000D22AC" w:rsidRDefault="004D2DBD" w:rsidP="007B26E8">
    <w:pPr>
      <w:pStyle w:val="Zhlav"/>
      <w:jc w:val="center"/>
      <w:rPr>
        <w:rFonts w:ascii="Tahoma" w:hAnsi="Tahoma" w:cs="Tahoma"/>
        <w:b/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-56515</wp:posOffset>
          </wp:positionV>
          <wp:extent cx="492125" cy="507365"/>
          <wp:effectExtent l="0" t="0" r="0" b="0"/>
          <wp:wrapNone/>
          <wp:docPr id="1" name="obrázek 1" descr="ČESKÁ_GASTROENTEROLOGICKÁ_SPOLEČNOST_-_CGS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ESKÁ_GASTROENTEROLOGICKÁ_SPOLEČNOST_-_CGS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EED" w:rsidRPr="000D22AC">
      <w:rPr>
        <w:rFonts w:ascii="Tahoma" w:hAnsi="Tahoma" w:cs="Tahoma"/>
        <w:b/>
        <w:color w:val="000000"/>
        <w:sz w:val="20"/>
        <w:szCs w:val="20"/>
        <w:u w:val="single"/>
      </w:rPr>
      <w:t xml:space="preserve">Strana </w:t>
    </w:r>
    <w:r w:rsidR="007B26E8" w:rsidRPr="000D22AC">
      <w:rPr>
        <w:rFonts w:ascii="Tahoma" w:hAnsi="Tahoma" w:cs="Tahoma"/>
        <w:b/>
        <w:color w:val="000000"/>
        <w:sz w:val="20"/>
        <w:szCs w:val="20"/>
        <w:u w:val="single"/>
      </w:rPr>
      <w:fldChar w:fldCharType="begin"/>
    </w:r>
    <w:r w:rsidR="007B26E8" w:rsidRPr="000D22AC">
      <w:rPr>
        <w:rFonts w:ascii="Tahoma" w:hAnsi="Tahoma" w:cs="Tahoma"/>
        <w:b/>
        <w:color w:val="000000"/>
        <w:sz w:val="20"/>
        <w:szCs w:val="20"/>
        <w:u w:val="single"/>
      </w:rPr>
      <w:instrText xml:space="preserve"> PAGE </w:instrText>
    </w:r>
    <w:r w:rsidR="007B26E8" w:rsidRPr="000D22AC">
      <w:rPr>
        <w:rFonts w:ascii="Tahoma" w:hAnsi="Tahoma" w:cs="Tahoma"/>
        <w:b/>
        <w:color w:val="000000"/>
        <w:sz w:val="20"/>
        <w:szCs w:val="20"/>
        <w:u w:val="single"/>
      </w:rPr>
      <w:fldChar w:fldCharType="separate"/>
    </w:r>
    <w:r>
      <w:rPr>
        <w:rFonts w:ascii="Tahoma" w:hAnsi="Tahoma" w:cs="Tahoma"/>
        <w:b/>
        <w:noProof/>
        <w:color w:val="000000"/>
        <w:sz w:val="20"/>
        <w:szCs w:val="20"/>
        <w:u w:val="single"/>
      </w:rPr>
      <w:t>1</w:t>
    </w:r>
    <w:r w:rsidR="007B26E8" w:rsidRPr="000D22AC">
      <w:rPr>
        <w:rFonts w:ascii="Tahoma" w:hAnsi="Tahoma" w:cs="Tahoma"/>
        <w:b/>
        <w:color w:val="000000"/>
        <w:sz w:val="20"/>
        <w:szCs w:val="20"/>
        <w:u w:val="single"/>
      </w:rPr>
      <w:fldChar w:fldCharType="end"/>
    </w:r>
    <w:r w:rsidR="007B26E8" w:rsidRPr="000D22AC">
      <w:rPr>
        <w:rFonts w:ascii="Tahoma" w:hAnsi="Tahoma" w:cs="Tahoma"/>
        <w:b/>
        <w:color w:val="000000"/>
        <w:sz w:val="20"/>
        <w:szCs w:val="20"/>
        <w:u w:val="single"/>
      </w:rPr>
      <w:t xml:space="preserve"> - ČTĚTE TÝDEN PŘED VYŠETŘENÍM</w:t>
    </w:r>
  </w:p>
  <w:p w:rsidR="005C2EED" w:rsidRPr="000D22AC" w:rsidRDefault="00EF6AB0" w:rsidP="007B26E8">
    <w:pPr>
      <w:pStyle w:val="Zhlav"/>
      <w:jc w:val="center"/>
      <w:rPr>
        <w:rFonts w:ascii="Tahoma" w:hAnsi="Tahoma" w:cs="Tahoma"/>
        <w:color w:val="000000"/>
        <w:sz w:val="40"/>
        <w:szCs w:val="40"/>
      </w:rPr>
    </w:pPr>
    <w:r>
      <w:rPr>
        <w:rFonts w:ascii="Tahoma" w:hAnsi="Tahoma" w:cs="Tahoma"/>
        <w:color w:val="000000"/>
        <w:sz w:val="40"/>
        <w:szCs w:val="40"/>
      </w:rPr>
      <w:t xml:space="preserve">Příprava </w:t>
    </w:r>
    <w:r w:rsidR="007B26E8">
      <w:rPr>
        <w:rFonts w:ascii="Tahoma" w:hAnsi="Tahoma" w:cs="Tahoma"/>
        <w:color w:val="000000"/>
        <w:sz w:val="40"/>
        <w:szCs w:val="40"/>
      </w:rPr>
      <w:t>ke koloskopi</w:t>
    </w:r>
    <w:r>
      <w:rPr>
        <w:rFonts w:ascii="Tahoma" w:hAnsi="Tahoma" w:cs="Tahoma"/>
        <w:color w:val="000000"/>
        <w:sz w:val="40"/>
        <w:szCs w:val="4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3ED6"/>
    <w:multiLevelType w:val="multilevel"/>
    <w:tmpl w:val="E19E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310D"/>
    <w:multiLevelType w:val="hybridMultilevel"/>
    <w:tmpl w:val="0C547888"/>
    <w:lvl w:ilvl="0" w:tplc="335CD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50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C95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0F0F9E"/>
    <w:multiLevelType w:val="hybridMultilevel"/>
    <w:tmpl w:val="961AE926"/>
    <w:lvl w:ilvl="0" w:tplc="FA5E8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D0C6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D483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F804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DAB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DF8A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26E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1CC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DEE8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4D324780"/>
    <w:multiLevelType w:val="hybridMultilevel"/>
    <w:tmpl w:val="883AB294"/>
    <w:lvl w:ilvl="0" w:tplc="5380A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3BE5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2183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1FC6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F65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D721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8AA2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992E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4D0B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56EA28BF"/>
    <w:multiLevelType w:val="hybridMultilevel"/>
    <w:tmpl w:val="E19E13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7328F"/>
    <w:multiLevelType w:val="hybridMultilevel"/>
    <w:tmpl w:val="FBB0409A"/>
    <w:lvl w:ilvl="0" w:tplc="28D4D8F0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682B1674"/>
    <w:multiLevelType w:val="hybridMultilevel"/>
    <w:tmpl w:val="0BBC6AB6"/>
    <w:lvl w:ilvl="0" w:tplc="335CD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C7C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5F"/>
    <w:rsid w:val="000105A7"/>
    <w:rsid w:val="00010A4C"/>
    <w:rsid w:val="00012098"/>
    <w:rsid w:val="00012E01"/>
    <w:rsid w:val="0003661F"/>
    <w:rsid w:val="00060D25"/>
    <w:rsid w:val="000665C1"/>
    <w:rsid w:val="00066A5B"/>
    <w:rsid w:val="0007068A"/>
    <w:rsid w:val="000730B2"/>
    <w:rsid w:val="000749D3"/>
    <w:rsid w:val="000848C5"/>
    <w:rsid w:val="00086B6C"/>
    <w:rsid w:val="000A53B5"/>
    <w:rsid w:val="000B4456"/>
    <w:rsid w:val="000D226C"/>
    <w:rsid w:val="000D22AC"/>
    <w:rsid w:val="000F1671"/>
    <w:rsid w:val="00114EAD"/>
    <w:rsid w:val="001244F1"/>
    <w:rsid w:val="00132C77"/>
    <w:rsid w:val="00183C03"/>
    <w:rsid w:val="001A59CC"/>
    <w:rsid w:val="001B3D35"/>
    <w:rsid w:val="001B4FF7"/>
    <w:rsid w:val="001D1FF7"/>
    <w:rsid w:val="001D79F5"/>
    <w:rsid w:val="00204D76"/>
    <w:rsid w:val="002106BD"/>
    <w:rsid w:val="00215B8A"/>
    <w:rsid w:val="00217818"/>
    <w:rsid w:val="00222D7E"/>
    <w:rsid w:val="00227C0A"/>
    <w:rsid w:val="002307DA"/>
    <w:rsid w:val="00244E3A"/>
    <w:rsid w:val="0024598B"/>
    <w:rsid w:val="0024676E"/>
    <w:rsid w:val="00256607"/>
    <w:rsid w:val="002622D2"/>
    <w:rsid w:val="002728A3"/>
    <w:rsid w:val="00280B16"/>
    <w:rsid w:val="002857BD"/>
    <w:rsid w:val="00293A88"/>
    <w:rsid w:val="0029579D"/>
    <w:rsid w:val="002E51D8"/>
    <w:rsid w:val="002F4287"/>
    <w:rsid w:val="00342642"/>
    <w:rsid w:val="003610C9"/>
    <w:rsid w:val="003A2854"/>
    <w:rsid w:val="003C13C0"/>
    <w:rsid w:val="003D46CA"/>
    <w:rsid w:val="00402CD3"/>
    <w:rsid w:val="004076A8"/>
    <w:rsid w:val="00422442"/>
    <w:rsid w:val="00450FAD"/>
    <w:rsid w:val="004621EB"/>
    <w:rsid w:val="00491282"/>
    <w:rsid w:val="004D2DBD"/>
    <w:rsid w:val="004D372F"/>
    <w:rsid w:val="004F1EC3"/>
    <w:rsid w:val="00503875"/>
    <w:rsid w:val="00551F98"/>
    <w:rsid w:val="0055452E"/>
    <w:rsid w:val="005552BA"/>
    <w:rsid w:val="005A7F5D"/>
    <w:rsid w:val="005C2EED"/>
    <w:rsid w:val="005C468D"/>
    <w:rsid w:val="005D3977"/>
    <w:rsid w:val="005D6EAB"/>
    <w:rsid w:val="005E0A39"/>
    <w:rsid w:val="00600B37"/>
    <w:rsid w:val="00626E14"/>
    <w:rsid w:val="00645A70"/>
    <w:rsid w:val="0068127D"/>
    <w:rsid w:val="00691044"/>
    <w:rsid w:val="006B5071"/>
    <w:rsid w:val="006B625E"/>
    <w:rsid w:val="006B69E1"/>
    <w:rsid w:val="006D19DC"/>
    <w:rsid w:val="006E21F2"/>
    <w:rsid w:val="006E27EF"/>
    <w:rsid w:val="006E298C"/>
    <w:rsid w:val="006E56B8"/>
    <w:rsid w:val="006F2A8D"/>
    <w:rsid w:val="007136A1"/>
    <w:rsid w:val="00713887"/>
    <w:rsid w:val="007151E8"/>
    <w:rsid w:val="0073130F"/>
    <w:rsid w:val="00742E95"/>
    <w:rsid w:val="007511C1"/>
    <w:rsid w:val="0076383C"/>
    <w:rsid w:val="007677FC"/>
    <w:rsid w:val="00770AA6"/>
    <w:rsid w:val="007B26E8"/>
    <w:rsid w:val="007B7DBC"/>
    <w:rsid w:val="007E2AFC"/>
    <w:rsid w:val="007F2A7E"/>
    <w:rsid w:val="00803CAA"/>
    <w:rsid w:val="008508B8"/>
    <w:rsid w:val="00851AF8"/>
    <w:rsid w:val="00864344"/>
    <w:rsid w:val="00886B09"/>
    <w:rsid w:val="008A4DB0"/>
    <w:rsid w:val="008A7CB4"/>
    <w:rsid w:val="008B19FF"/>
    <w:rsid w:val="008B60F9"/>
    <w:rsid w:val="008C1B11"/>
    <w:rsid w:val="008D35B2"/>
    <w:rsid w:val="008E4784"/>
    <w:rsid w:val="00915208"/>
    <w:rsid w:val="0093003B"/>
    <w:rsid w:val="0096777C"/>
    <w:rsid w:val="009966DB"/>
    <w:rsid w:val="009A635B"/>
    <w:rsid w:val="009B6173"/>
    <w:rsid w:val="009B78BC"/>
    <w:rsid w:val="009E1ADC"/>
    <w:rsid w:val="00A257E7"/>
    <w:rsid w:val="00A46F8D"/>
    <w:rsid w:val="00A7100F"/>
    <w:rsid w:val="00A77B41"/>
    <w:rsid w:val="00A90E82"/>
    <w:rsid w:val="00A943DB"/>
    <w:rsid w:val="00AB512D"/>
    <w:rsid w:val="00AC2E5A"/>
    <w:rsid w:val="00AD5DBD"/>
    <w:rsid w:val="00AE6247"/>
    <w:rsid w:val="00AF1072"/>
    <w:rsid w:val="00AF726C"/>
    <w:rsid w:val="00B007C7"/>
    <w:rsid w:val="00B06C2D"/>
    <w:rsid w:val="00B34029"/>
    <w:rsid w:val="00B37825"/>
    <w:rsid w:val="00B452A1"/>
    <w:rsid w:val="00B456AB"/>
    <w:rsid w:val="00B57E78"/>
    <w:rsid w:val="00B84F34"/>
    <w:rsid w:val="00BB6B0D"/>
    <w:rsid w:val="00BD78BA"/>
    <w:rsid w:val="00BE08BC"/>
    <w:rsid w:val="00BE0B01"/>
    <w:rsid w:val="00BF7615"/>
    <w:rsid w:val="00C0335F"/>
    <w:rsid w:val="00C42E1B"/>
    <w:rsid w:val="00C47ABE"/>
    <w:rsid w:val="00C76930"/>
    <w:rsid w:val="00C834D3"/>
    <w:rsid w:val="00C86B65"/>
    <w:rsid w:val="00C92789"/>
    <w:rsid w:val="00CA26AA"/>
    <w:rsid w:val="00CA548B"/>
    <w:rsid w:val="00CA67A2"/>
    <w:rsid w:val="00CC165C"/>
    <w:rsid w:val="00CE23A1"/>
    <w:rsid w:val="00D022A0"/>
    <w:rsid w:val="00D23EB9"/>
    <w:rsid w:val="00D27796"/>
    <w:rsid w:val="00D53772"/>
    <w:rsid w:val="00D5497B"/>
    <w:rsid w:val="00D70532"/>
    <w:rsid w:val="00D77D2A"/>
    <w:rsid w:val="00D84226"/>
    <w:rsid w:val="00D93C71"/>
    <w:rsid w:val="00D944C1"/>
    <w:rsid w:val="00D96CE9"/>
    <w:rsid w:val="00DA2B6F"/>
    <w:rsid w:val="00DA2FBF"/>
    <w:rsid w:val="00DB02B1"/>
    <w:rsid w:val="00DB0FF3"/>
    <w:rsid w:val="00DC783E"/>
    <w:rsid w:val="00E01699"/>
    <w:rsid w:val="00E060CC"/>
    <w:rsid w:val="00E07767"/>
    <w:rsid w:val="00E11945"/>
    <w:rsid w:val="00E3511E"/>
    <w:rsid w:val="00E418A1"/>
    <w:rsid w:val="00E50D10"/>
    <w:rsid w:val="00E5157A"/>
    <w:rsid w:val="00E67FCE"/>
    <w:rsid w:val="00EB6F86"/>
    <w:rsid w:val="00EF6AB0"/>
    <w:rsid w:val="00F20CC5"/>
    <w:rsid w:val="00F505AA"/>
    <w:rsid w:val="00F546F8"/>
    <w:rsid w:val="00F6241B"/>
    <w:rsid w:val="00F814DE"/>
    <w:rsid w:val="00F852BE"/>
    <w:rsid w:val="00FB6110"/>
    <w:rsid w:val="00FC1238"/>
    <w:rsid w:val="00FC3FED"/>
    <w:rsid w:val="00FD7135"/>
    <w:rsid w:val="00FE001C"/>
    <w:rsid w:val="00FE0F92"/>
    <w:rsid w:val="00FE1DC0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E80B5-AF28-4969-96FF-CFA8EEB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C0C0C0"/>
      <w:sz w:val="20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0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 w:cs="Tahoma"/>
      <w:b/>
      <w:sz w:val="22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Tahoma" w:hAnsi="Tahoma"/>
      <w:b/>
      <w:u w:val="single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rFonts w:ascii="Tahoma" w:hAnsi="Tahoma" w:cs="Tahoma"/>
      <w:color w:val="FF0000"/>
      <w:sz w:val="22"/>
    </w:rPr>
  </w:style>
  <w:style w:type="paragraph" w:styleId="Nzev">
    <w:name w:val="Title"/>
    <w:basedOn w:val="Normln"/>
    <w:qFormat/>
    <w:pPr>
      <w:ind w:left="-567" w:right="-426"/>
      <w:jc w:val="center"/>
    </w:pPr>
    <w:rPr>
      <w:rFonts w:ascii="Arial" w:hAnsi="Arial"/>
      <w:sz w:val="20"/>
      <w:szCs w:val="2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rFonts w:ascii="Tahoma" w:hAnsi="Tahoma" w:cs="Tahoma"/>
      <w:color w:val="339966"/>
    </w:rPr>
  </w:style>
  <w:style w:type="character" w:customStyle="1" w:styleId="Nadpis4Char">
    <w:name w:val="Nadpis 4 Char"/>
    <w:link w:val="Nadpis4"/>
    <w:rsid w:val="0073130F"/>
    <w:rPr>
      <w:rFonts w:ascii="Tahoma" w:hAnsi="Tahoma" w:cs="Tahoma"/>
      <w:b/>
      <w:sz w:val="24"/>
      <w:szCs w:val="24"/>
      <w:u w:val="single"/>
    </w:rPr>
  </w:style>
  <w:style w:type="character" w:styleId="Odkaznakoment">
    <w:name w:val="annotation reference"/>
    <w:semiHidden/>
    <w:rsid w:val="00086B6C"/>
    <w:rPr>
      <w:sz w:val="16"/>
      <w:szCs w:val="16"/>
    </w:rPr>
  </w:style>
  <w:style w:type="paragraph" w:styleId="Textkomente">
    <w:name w:val="annotation text"/>
    <w:basedOn w:val="Normln"/>
    <w:semiHidden/>
    <w:rsid w:val="00086B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86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</vt:lpstr>
    </vt:vector>
  </TitlesOfParts>
  <Company>Microsoft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Cyrany</dc:creator>
  <cp:keywords/>
  <cp:lastModifiedBy>Marek Libiger</cp:lastModifiedBy>
  <cp:revision>2</cp:revision>
  <cp:lastPrinted>2019-01-08T21:23:00Z</cp:lastPrinted>
  <dcterms:created xsi:type="dcterms:W3CDTF">2019-03-14T08:35:00Z</dcterms:created>
  <dcterms:modified xsi:type="dcterms:W3CDTF">2019-03-14T08:35:00Z</dcterms:modified>
</cp:coreProperties>
</file>